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60" w:before="60"/>
        <w:ind w:left="360"/>
        <w:rPr>
          <w:rFonts w:ascii="Arial" w:hAnsi="Arial" w:cs="Arial"/>
          <w:b/>
          <w:lang w:val="sr-Latn-RS"/>
        </w:rPr>
      </w:pPr>
      <w:r>
        <w:rPr>
          <w:rFonts w:ascii="Arial" w:hAnsi="Arial" w:cs="Arial"/>
          <w:b/>
          <w:lang w:val="sr-Latn-RS"/>
        </w:rPr>
        <w:t xml:space="preserve">ПРИЛОГ 1: САНКЦИЈЕ УСЛЕД КРШЕЊА HSE ЗАХТЕВА</w:t>
      </w:r>
      <w:r>
        <w:rPr>
          <w:rFonts w:ascii="Arial" w:hAnsi="Arial" w:cs="Arial"/>
          <w:b/>
          <w:lang w:val="sr-Latn-RS"/>
        </w:rPr>
      </w:r>
    </w:p>
    <w:p>
      <w:pPr>
        <w:pBdr/>
        <w:spacing w:after="60" w:before="60"/>
        <w:ind w:left="360"/>
        <w:jc w:val="center"/>
        <w:rPr>
          <w:rFonts w:ascii="Arial" w:hAnsi="Arial" w:cs="Arial"/>
          <w:b/>
          <w:lang w:val="sr-Latn-RS"/>
        </w:rPr>
      </w:pPr>
      <w:r>
        <w:rPr>
          <w:rFonts w:ascii="Arial" w:hAnsi="Arial" w:cs="Arial"/>
          <w:b/>
          <w:lang w:val="sr-Latn-RS"/>
        </w:rPr>
      </w:r>
      <w:r>
        <w:rPr>
          <w:rFonts w:ascii="Arial" w:hAnsi="Arial" w:cs="Arial"/>
          <w:b/>
          <w:lang w:val="sr-Latn-RS"/>
        </w:rPr>
      </w:r>
    </w:p>
    <w:p>
      <w:pPr>
        <w:numPr>
          <w:ilvl w:val="1"/>
          <w:numId w:val="7"/>
        </w:numPr>
        <w:pBdr/>
        <w:spacing w:after="120" w:before="120" w:line="276" w:lineRule="auto"/>
        <w:ind/>
        <w:jc w:val="both"/>
        <w:rPr>
          <w:rFonts w:ascii="Arial" w:hAnsi="Arial" w:cs="Arial"/>
          <w:lang w:val="sr-Latn-RS"/>
        </w:rPr>
      </w:pPr>
      <w:r>
        <w:rPr>
          <w:rFonts w:ascii="Arial" w:hAnsi="Arial" w:cs="Arial"/>
          <w:lang w:val="sr-Latn-RS"/>
        </w:rPr>
        <w:t xml:space="preserve">Уколико запослени Извршиоца и/или лица ко</w:t>
      </w:r>
      <w:r>
        <w:rPr>
          <w:rFonts w:ascii="Arial" w:hAnsi="Arial" w:cs="Arial"/>
          <w:lang w:val="sr-Latn-RS"/>
        </w:rPr>
        <w:t xml:space="preserve">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Усменo опомене запосленог Извршиоца и/или лицу које је ангажовао уз слање писаног обавештења о истој Извршиоцу;</w:t>
      </w:r>
      <w:bookmarkStart w:id="0" w:name="_GoBack"/>
      <w:r/>
      <w:bookmarkEnd w:id="0"/>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Писаним путем опомене запосленог Извршиоца и/или лицу које је ангажовао уз слање обавештења о истој Извршиоцу;</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 случају да линијски руководила</w:t>
      </w:r>
      <w:r>
        <w:rPr>
          <w:rFonts w:ascii="Arial" w:hAnsi="Arial" w:cs="Arial"/>
          <w:lang w:val="sr-Latn-RS"/>
        </w:rPr>
        <w:t xml:space="preserve">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Забрани улазак у круг објекта и/или пословне просторије Наручиоца запосленом</w:t>
      </w:r>
      <w:r>
        <w:rPr>
          <w:rFonts w:ascii="Arial" w:hAnsi="Arial" w:cs="Arial"/>
          <w:lang w:val="sr-Latn-RS"/>
        </w:rPr>
        <w:t xml:space="preserve">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w:t>
      </w:r>
      <w:r>
        <w:rPr>
          <w:rFonts w:ascii="Arial" w:hAnsi="Arial" w:cs="Arial"/>
          <w:lang w:val="sr-Latn-RS"/>
        </w:rPr>
        <w:t xml:space="preserve">и алата.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w:t>
      </w:r>
      <w:r>
        <w:rPr>
          <w:rFonts w:ascii="Arial" w:hAnsi="Arial" w:cs="Arial"/>
          <w:lang w:val="sr-Latn-RS"/>
        </w:rPr>
        <w:t xml:space="preserve">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w:t>
      </w:r>
      <w:r>
        <w:rPr>
          <w:rFonts w:ascii="Arial" w:hAnsi="Arial" w:cs="Arial"/>
          <w:lang w:val="sr-Latn-RS"/>
        </w:rPr>
        <w:t xml:space="preserve">вности Извршиоца и/или лица које је ангажовао (тј. записи поступака оперативног опсервирања, односно фотографије).  </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Наручилац и Извршилац ће сарађивати у примени прописа HSE преко својих овлашћених лица и служби;</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Неизвршење, делимично извршење или кршење </w:t>
      </w:r>
      <w:r>
        <w:rPr>
          <w:rFonts w:ascii="Arial" w:hAnsi="Arial" w:cs="Arial"/>
          <w:lang w:val="sr-Latn-RS"/>
        </w:rPr>
        <w:t xml:space="preserve">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w:t>
      </w:r>
      <w:r>
        <w:rPr>
          <w:rFonts w:ascii="Arial" w:hAnsi="Arial" w:cs="Arial"/>
          <w:lang w:val="sr-Latn-RS"/>
        </w:rPr>
        <w:t xml:space="preserve">их процедура које важе код Наручиоца од стране  запослених Извршиоца и/или свих других лица која ангажује за пружање услуга / извођење радова;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Наручилац има право да раскине Уговор услед неизвршења, делимичног извршења или кршења обавеза из HSE Споразума о</w:t>
      </w:r>
      <w:r>
        <w:rPr>
          <w:rFonts w:ascii="Arial" w:hAnsi="Arial" w:cs="Arial"/>
          <w:lang w:val="sr-Latn-RS"/>
        </w:rPr>
        <w:t xml:space="preserve">д стране Извршиоца, без права Извршиоца да захтева накнаду штете насталу услед раскида Уговора по овом основу.</w:t>
      </w:r>
      <w:r>
        <w:rPr>
          <w:rFonts w:ascii="Arial" w:hAnsi="Arial" w:cs="Arial"/>
          <w:lang w:val="sr-Latn-RS"/>
        </w:rPr>
      </w:r>
    </w:p>
    <w:p>
      <w:pPr>
        <w:numPr>
          <w:ilvl w:val="2"/>
          <w:numId w:val="7"/>
        </w:numPr>
        <w:pBdr/>
        <w:spacing w:after="60" w:before="60" w:line="276" w:lineRule="auto"/>
        <w:ind w:left="567"/>
        <w:jc w:val="both"/>
        <w:rPr>
          <w:rFonts w:ascii="Arial" w:hAnsi="Arial" w:cs="Arial"/>
          <w:lang w:val="sr-Latn-RS"/>
        </w:rPr>
      </w:pPr>
      <w:r>
        <w:rPr>
          <w:rFonts w:ascii="Arial" w:hAnsi="Arial" w:cs="Arial"/>
          <w:lang w:val="sr-Latn-RS"/>
        </w:rPr>
        <w:t xml:space="preserve">На основу записника из става 1.1.5. HSE Споразума, Наручилац сачињава Обрачун уговорне казне, за које има право да у наредном обрачунском периоду</w:t>
      </w:r>
      <w:r>
        <w:rPr>
          <w:rFonts w:ascii="Arial" w:hAnsi="Arial" w:cs="Arial"/>
          <w:lang w:val="sr-Latn-RS"/>
        </w:rPr>
        <w:t xml:space="preserve">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r>
        <w:rPr>
          <w:rFonts w:ascii="Arial" w:hAnsi="Arial" w:cs="Arial"/>
          <w:lang w:val="sr-Latn-RS"/>
        </w:rPr>
      </w:r>
    </w:p>
    <w:p>
      <w:pPr>
        <w:pBdr/>
        <w:spacing w:after="60" w:before="60"/>
        <w:ind/>
        <w:jc w:val="both"/>
        <w:rPr>
          <w:rFonts w:ascii="Arial" w:hAnsi="Arial" w:cs="Arial"/>
          <w:lang w:val="sr-Latn-RS"/>
        </w:rPr>
      </w:pPr>
      <w:r>
        <w:rPr>
          <w:rFonts w:ascii="Arial" w:hAnsi="Arial" w:cs="Arial"/>
          <w:lang w:val="sr-Latn-RS"/>
        </w:rPr>
      </w:r>
      <w:r>
        <w:rPr>
          <w:rFonts w:ascii="Arial" w:hAnsi="Arial" w:cs="Arial"/>
          <w:lang w:val="sr-Latn-RS"/>
        </w:rPr>
      </w:r>
    </w:p>
    <w:p>
      <w:pPr>
        <w:pBdr/>
        <w:spacing w:after="160" w:line="259" w:lineRule="auto"/>
        <w:ind/>
        <w:rPr>
          <w:rFonts w:ascii="Arial" w:hAnsi="Arial" w:cs="Arial"/>
          <w:sz w:val="10"/>
          <w:szCs w:val="10"/>
          <w:lang w:val="sr-Latn-RS"/>
        </w:rPr>
      </w:pPr>
      <w:r>
        <w:rPr>
          <w:rFonts w:ascii="Arial" w:hAnsi="Arial" w:cs="Arial"/>
          <w:sz w:val="10"/>
          <w:szCs w:val="10"/>
          <w:lang w:val="sr-Latn-RS"/>
        </w:rPr>
        <w:br w:type="page" w:clear="all"/>
      </w:r>
      <w:r>
        <w:rPr>
          <w:rFonts w:ascii="Arial" w:hAnsi="Arial" w:cs="Arial"/>
          <w:sz w:val="10"/>
          <w:szCs w:val="10"/>
          <w:lang w:val="sr-Latn-RS"/>
        </w:rPr>
      </w:r>
    </w:p>
    <w:p>
      <w:pPr>
        <w:pBdr/>
        <w:spacing w:after="60" w:before="60"/>
        <w:ind/>
        <w:jc w:val="both"/>
        <w:rPr>
          <w:rFonts w:ascii="Arial" w:hAnsi="Arial" w:cs="Arial"/>
          <w:sz w:val="10"/>
          <w:szCs w:val="10"/>
          <w:lang w:val="sr-Latn-RS"/>
        </w:rPr>
      </w:pPr>
      <w:r>
        <w:rPr>
          <w:rFonts w:ascii="Arial" w:hAnsi="Arial" w:cs="Arial"/>
          <w:sz w:val="10"/>
          <w:szCs w:val="10"/>
          <w:lang w:val="sr-Latn-RS"/>
        </w:rPr>
      </w:r>
      <w:r>
        <w:rPr>
          <w:rFonts w:ascii="Arial" w:hAnsi="Arial" w:cs="Arial"/>
          <w:sz w:val="10"/>
          <w:szCs w:val="10"/>
          <w:lang w:val="sr-Latn-RS"/>
        </w:rPr>
      </w:r>
    </w:p>
    <w:tbl>
      <w:tblPr>
        <w:jc w:val="center"/>
        <w:tblW w:w="0" w:type="auto"/>
        <w:tblBorders/>
        <w:tblLook w:val="04A0" w:firstRow="1" w:lastRow="0" w:firstColumn="1" w:lastColumn="0" w:noHBand="0" w:noVBand="1"/>
        <w:tblStyle w:val="1045"/>
      </w:tblPr>
      <w:tblGrid>
        <w:gridCol w:w="4820"/>
        <w:gridCol w:w="3447"/>
      </w:tblGrid>
      <w:tr>
        <w:trPr>
          <w:cantSplit/>
          <w:jc w:val="center"/>
        </w:trPr>
        <w:tc>
          <w:tcPr>
            <w:tcBorders/>
            <w:tcW w:w="4820" w:type="dxa"/>
            <w:vAlign w:val="center"/>
            <w:textDirection w:val="lrTb"/>
            <w:noWrap w:val="false"/>
          </w:tcPr>
          <w:p>
            <w:pPr>
              <w:pBdr/>
              <w:spacing w:after="60" w:before="60"/>
              <w:ind/>
              <w:jc w:val="center"/>
              <w:rPr>
                <w:rFonts w:ascii="Arial" w:hAnsi="Arial" w:cs="Arial"/>
                <w:b/>
                <w:color w:val="000000" w:themeColor="text1"/>
                <w:sz w:val="18"/>
                <w:szCs w:val="18"/>
              </w:rPr>
            </w:pPr>
            <w:r>
              <w:rPr>
                <w:rFonts w:ascii="Arial" w:hAnsi="Arial" w:cs="Arial"/>
                <w:b/>
                <w:color w:val="000000" w:themeColor="text1"/>
                <w:sz w:val="18"/>
                <w:szCs w:val="18"/>
                <w:lang w:val="sr-Latn-RS"/>
              </w:rPr>
              <w:t xml:space="preserve">Прекршај HSE захтева</w:t>
            </w:r>
            <w:r>
              <w:rPr>
                <w:rFonts w:ascii="Arial" w:hAnsi="Arial" w:cs="Arial"/>
                <w:b/>
                <w:color w:val="000000" w:themeColor="text1"/>
                <w:sz w:val="18"/>
                <w:szCs w:val="18"/>
              </w:rPr>
            </w:r>
          </w:p>
        </w:tc>
        <w:tc>
          <w:tcPr>
            <w:tcBorders/>
            <w:tcW w:w="3447" w:type="dxa"/>
            <w:vAlign w:val="center"/>
            <w:textDirection w:val="lrTb"/>
            <w:noWrap w:val="false"/>
          </w:tcPr>
          <w:p>
            <w:pPr>
              <w:pBdr/>
              <w:spacing w:after="60" w:before="60"/>
              <w:ind w:hanging="25"/>
              <w:jc w:val="center"/>
              <w:rPr>
                <w:rFonts w:ascii="Arial" w:hAnsi="Arial" w:cs="Arial"/>
                <w:b/>
                <w:color w:val="000000" w:themeColor="text1"/>
                <w:sz w:val="18"/>
                <w:szCs w:val="18"/>
              </w:rPr>
            </w:pPr>
            <w:r>
              <w:rPr>
                <w:rFonts w:ascii="Arial" w:hAnsi="Arial" w:cs="Arial"/>
                <w:b/>
                <w:color w:val="000000" w:themeColor="text1"/>
                <w:sz w:val="18"/>
                <w:szCs w:val="18"/>
                <w:lang w:val="sr-Latn-RS"/>
              </w:rPr>
              <w:t xml:space="preserve">Санкција</w:t>
            </w:r>
            <w:r>
              <w:rPr>
                <w:rFonts w:ascii="Arial" w:hAnsi="Arial" w:cs="Arial"/>
                <w:b/>
                <w:color w:val="000000" w:themeColor="text1"/>
                <w:sz w:val="18"/>
                <w:szCs w:val="18"/>
              </w:rPr>
            </w:r>
          </w:p>
        </w:tc>
      </w:tr>
      <w:tr>
        <w:trPr>
          <w:cantSplit/>
          <w:jc w:val="center"/>
          <w:trHeight w:val="850"/>
        </w:trPr>
        <w:tc>
          <w:tcPr>
            <w:tcBorders/>
            <w:tcW w:w="4820" w:type="dxa"/>
            <w:vAlign w:val="center"/>
            <w:textDirection w:val="lrTb"/>
            <w:noWrap w:val="false"/>
          </w:tcPr>
          <w:p>
            <w:pPr>
              <w:pBdr/>
              <w:spacing/>
              <w:ind/>
              <w:jc w:val="both"/>
              <w:rPr>
                <w:rFonts w:ascii="Arial" w:hAnsi="Arial" w:cs="Arial"/>
                <w:color w:val="000000" w:themeColor="text1"/>
                <w:lang w:val="ru-RU"/>
              </w:rPr>
            </w:pPr>
            <w:r>
              <w:rPr>
                <w:rFonts w:ascii="Arial" w:hAnsi="Arial" w:cs="Arial"/>
                <w:color w:val="000000" w:themeColor="text1"/>
                <w:sz w:val="18"/>
                <w:szCs w:val="18"/>
                <w:lang w:val="sr-Latn-RS"/>
              </w:rPr>
              <w:t xml:space="preserve">Поступање Извршиоца супротно одредбама овог Споразума у случају проглашења ванредне ситуације, ванредног стања, ратне опасности, елементарне непогоде, епидемије;</w:t>
            </w:r>
            <w:r>
              <w:rPr>
                <w:rFonts w:ascii="Arial" w:hAnsi="Arial" w:cs="Arial"/>
                <w:color w:val="000000" w:themeColor="text1"/>
                <w:lang w:val="sr-Latn-RS"/>
              </w:rPr>
              <w:t xml:space="preserve"> </w:t>
            </w:r>
            <w:r>
              <w:rPr>
                <w:rFonts w:ascii="Arial" w:hAnsi="Arial" w:cs="Arial"/>
                <w:color w:val="000000" w:themeColor="text1"/>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200.000,00 РСД –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од стране Наручиоца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tab/>
            </w:r>
            <w:r>
              <w:rPr>
                <w:rFonts w:ascii="Arial" w:hAnsi="Arial" w:cs="Arial"/>
                <w:color w:val="000000" w:themeColor="text1"/>
                <w:sz w:val="18"/>
                <w:szCs w:val="18"/>
                <w:lang w:val="sr-Latn-RS"/>
              </w:rPr>
              <w:t xml:space="preserve">Неизвештавање Наручиоца о догађајима из области HSE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дан кашњења;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tab/>
              <w:t xml:space="preserve">Неизвештавање Наручиоца о догађајима из области HSE;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накнадно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Непостајање прописаних лекарских и санитарних прегледа запослених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w:t>
            </w:r>
            <w:r>
              <w:rPr>
                <w:rFonts w:ascii="Arial" w:hAnsi="Arial" w:cs="Arial"/>
                <w:color w:val="000000" w:themeColor="text1"/>
                <w:sz w:val="18"/>
                <w:szCs w:val="18"/>
                <w:lang w:val="sr-Latn-RS"/>
              </w:rPr>
              <w:t xml:space="preserve">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100</w:t>
            </w:r>
            <w:r>
              <w:rPr>
                <w:rFonts w:ascii="Arial" w:hAnsi="Arial" w:cs="Arial"/>
                <w:color w:val="000000" w:themeColor="text1"/>
                <w:sz w:val="18"/>
                <w:szCs w:val="18"/>
                <w:lang w:val="sr-Latn-RS"/>
              </w:rPr>
              <w:t xml:space="preserve">.000 РСД за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 xml:space="preserve">за више од два утврђена случаја</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w:t>
            </w:r>
            <w:r>
              <w:rPr>
                <w:rFonts w:ascii="Arial" w:hAnsi="Arial" w:cs="Arial"/>
                <w:color w:val="000000" w:themeColor="text1"/>
                <w:sz w:val="18"/>
                <w:szCs w:val="18"/>
                <w:lang w:val="sr-Latn-RS"/>
              </w:rPr>
              <w:t xml:space="preserve"> за отказ/раскид уговора са Извршиоцем;</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r>
              <w:rPr>
                <w:rFonts w:ascii="Arial" w:hAnsi="Arial" w:cs="Arial"/>
                <w:color w:val="000000" w:themeColor="text1"/>
                <w:sz w:val="18"/>
                <w:szCs w:val="18"/>
                <w:lang w:val="sr-Cyrl-RS"/>
              </w:rPr>
              <w:t xml:space="preserve">, који врше високо-ризичне активности</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5</w:t>
            </w:r>
            <w:r>
              <w:rPr>
                <w:rFonts w:ascii="Arial" w:hAnsi="Arial" w:cs="Arial"/>
                <w:color w:val="000000" w:themeColor="text1"/>
                <w:sz w:val="18"/>
                <w:szCs w:val="18"/>
                <w:lang w:val="sr-Latn-RS"/>
              </w:rPr>
              <w:t xml:space="preserve">0.000 РСД за сваког запо</w:t>
            </w:r>
            <w:r>
              <w:rPr>
                <w:rFonts w:ascii="Arial" w:hAnsi="Arial" w:cs="Arial"/>
                <w:color w:val="000000" w:themeColor="text1"/>
                <w:sz w:val="18"/>
                <w:szCs w:val="18"/>
                <w:lang w:val="sr-Latn-RS"/>
              </w:rPr>
              <w:t xml:space="preserve">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први откривени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w:t>
            </w:r>
            <w:r>
              <w:rPr>
                <w:rFonts w:ascii="Arial" w:hAnsi="Arial" w:cs="Arial"/>
                <w:color w:val="000000" w:themeColor="text1"/>
                <w:sz w:val="18"/>
                <w:szCs w:val="18"/>
                <w:lang w:val="sr-Latn-RS"/>
              </w:rPr>
              <w:t xml:space="preserve">б;</w:t>
            </w:r>
            <w:r>
              <w:rPr>
                <w:rFonts w:ascii="Arial" w:hAnsi="Arial" w:cs="Arial"/>
                <w:color w:val="000000" w:themeColor="text1"/>
                <w:sz w:val="18"/>
                <w:szCs w:val="18"/>
                <w:lang w:val="ru-RU"/>
              </w:rPr>
            </w:r>
          </w:p>
        </w:tc>
      </w:tr>
      <w:tr>
        <w:trPr>
          <w:cantSplit/>
          <w:jc w:val="center"/>
          <w:trHeight w:val="546"/>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други поновљени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откривени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Height w:val="871"/>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трећи поновљени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w:t>
            </w:r>
            <w:r>
              <w:rPr>
                <w:rFonts w:ascii="Arial" w:hAnsi="Arial" w:cs="Arial"/>
                <w:color w:val="000000" w:themeColor="text1"/>
                <w:sz w:val="18"/>
                <w:szCs w:val="18"/>
                <w:lang w:val="sr-Latn-RS"/>
              </w:rPr>
              <w:t xml:space="preserve">ослених код Извршиоца и/или лица које је ангажовао, за четврти поновљени случај; </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високори</w:t>
            </w:r>
            <w:r>
              <w:rPr>
                <w:rFonts w:ascii="Arial" w:hAnsi="Arial" w:cs="Arial"/>
                <w:color w:val="000000" w:themeColor="text1"/>
                <w:sz w:val="18"/>
                <w:szCs w:val="18"/>
                <w:lang w:val="sr-Latn-RS"/>
              </w:rPr>
              <w:t xml:space="preserve">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Пушење или коришћење отвореног пламена на за то непредвиђеним местима,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Style w:val="1047"/>
              <w:pBdr/>
              <w:spacing/>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Не</w:t>
            </w:r>
            <w:r>
              <w:rPr>
                <w:rFonts w:ascii="Arial" w:hAnsi="Arial" w:cs="Arial"/>
                <w:color w:val="000000" w:themeColor="text1"/>
                <w:sz w:val="18"/>
                <w:szCs w:val="18"/>
                <w:lang w:val="ru-RU"/>
              </w:rPr>
              <w:t xml:space="preserve">испуњење захтева дефинисаних законом о безбедности и здрављу на раду (члан 37 - уводно упознавање запослених извођача о упознавању и упозорењу о опасним местима, штетностима које се јављају, ризицима и специфичностима на локацији извођења уговорених радних</w:t>
            </w:r>
            <w:r>
              <w:rPr>
                <w:rFonts w:ascii="Arial" w:hAnsi="Arial" w:cs="Arial"/>
                <w:color w:val="000000" w:themeColor="text1"/>
                <w:sz w:val="18"/>
                <w:szCs w:val="18"/>
                <w:lang w:val="ru-RU"/>
              </w:rPr>
              <w:t xml:space="preserve"> активности, мерама за безбедан и здрав рад које мора да примени, безбедним зонама кретања и др.).</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ru-RU"/>
              </w:rPr>
            </w:r>
          </w:p>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без штетних последица по иницијатора раскида уговорног односа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Непоседовање важећих стручн</w:t>
            </w:r>
            <w:r>
              <w:rPr>
                <w:rFonts w:ascii="Arial" w:hAnsi="Arial" w:cs="Arial"/>
                <w:color w:val="000000" w:themeColor="text1"/>
                <w:sz w:val="18"/>
                <w:szCs w:val="18"/>
                <w:lang w:val="sr-Latn-RS"/>
              </w:rPr>
              <w:t xml:space="preserve">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пр</w:t>
            </w:r>
            <w:r>
              <w:rPr>
                <w:rFonts w:ascii="Arial" w:hAnsi="Arial" w:cs="Arial"/>
                <w:color w:val="000000" w:themeColor="text1"/>
                <w:sz w:val="18"/>
                <w:szCs w:val="18"/>
                <w:lang w:val="sr-Latn-RS"/>
              </w:rPr>
              <w:t xml:space="preserve">авила која се односе на зоне опасности, систем дозвола за рад</w:t>
            </w:r>
            <w:r>
              <w:rPr>
                <w:rFonts w:ascii="Arial" w:hAnsi="Arial" w:cs="Arial"/>
                <w:color w:val="000000" w:themeColor="text1"/>
                <w:sz w:val="18"/>
                <w:szCs w:val="18"/>
                <w:lang w:val="sr-Cyrl-RS"/>
              </w:rPr>
              <w:t xml:space="preserve"> и контроле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Непоштовање правила која се односе на интерна правила</w:t>
            </w:r>
            <w:r>
              <w:rPr>
                <w:rFonts w:ascii="Arial" w:hAnsi="Arial" w:cs="Arial"/>
                <w:color w:val="000000" w:themeColor="text1"/>
                <w:sz w:val="18"/>
                <w:szCs w:val="18"/>
                <w:lang w:val="sr-Cyrl-RS"/>
              </w:rPr>
              <w:t xml:space="preserve">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(као на пр. непрописно паркирање и остављање радне машине без предузимања безбедносних мера и без елиминације могућности од неовлашћене употребе, од стране запослених код Извр</w:t>
            </w:r>
            <w:r>
              <w:rPr>
                <w:rFonts w:ascii="Arial" w:hAnsi="Arial" w:cs="Arial"/>
                <w:color w:val="000000" w:themeColor="text1"/>
                <w:sz w:val="18"/>
                <w:szCs w:val="18"/>
                <w:lang w:val="sr-Latn-RS"/>
              </w:rPr>
              <w:t xml:space="preserve">шиоца и/или лица које је ангажовао</w:t>
            </w:r>
            <w:r>
              <w:rPr>
                <w:rFonts w:ascii="Arial" w:hAnsi="Arial" w:cs="Arial"/>
                <w:color w:val="000000" w:themeColor="text1"/>
                <w:sz w:val="18"/>
                <w:szCs w:val="18"/>
                <w:lang w:val="sr-Cyrl-RS"/>
              </w:rPr>
              <w:t xml:space="preserve">, и сл.)</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w:t>
            </w:r>
            <w:r>
              <w:rPr>
                <w:rFonts w:ascii="Arial" w:hAnsi="Arial" w:cs="Arial"/>
                <w:color w:val="000000" w:themeColor="text1"/>
                <w:sz w:val="18"/>
                <w:szCs w:val="18"/>
                <w:lang w:val="sr-Latn-RS"/>
              </w:rPr>
              <w:t xml:space="preserve">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bookmarkStart w:id="1" w:name="_Hlk195436203"/>
            <w:r>
              <w:rPr>
                <w:rFonts w:ascii="Arial" w:hAnsi="Arial" w:cs="Arial"/>
                <w:color w:val="000000" w:themeColor="text1"/>
                <w:sz w:val="18"/>
                <w:szCs w:val="18"/>
                <w:lang w:val="sr-Latn-RS"/>
              </w:rPr>
              <w:t xml:space="preserve">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bookmarkEnd w:id="1"/>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прописа из области зашти</w:t>
            </w:r>
            <w:r>
              <w:rPr>
                <w:rFonts w:ascii="Arial" w:hAnsi="Arial" w:cs="Arial"/>
                <w:color w:val="000000" w:themeColor="text1"/>
                <w:sz w:val="18"/>
                <w:szCs w:val="18"/>
                <w:lang w:val="sr-Latn-RS"/>
              </w:rPr>
              <w:t xml:space="preserve">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из области заштите од пожара,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Коришћење алкохола и/или других опојних средстава (наркотика) запослених код Извршиоца и/или лица које је ангажоваo;</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Унос/ к</w:t>
            </w:r>
            <w:r>
              <w:rPr>
                <w:rFonts w:ascii="Arial" w:hAnsi="Arial" w:cs="Arial"/>
                <w:color w:val="000000" w:themeColor="text1"/>
                <w:sz w:val="18"/>
                <w:szCs w:val="18"/>
                <w:lang w:val="sr-Latn-RS"/>
              </w:rPr>
              <w:t xml:space="preserve">оришћење алкохола и/или других опојних средстава (наркотика) код запослених Извршиоца и/или л</w:t>
            </w:r>
            <w:r>
              <w:rPr>
                <w:rFonts w:ascii="Arial" w:hAnsi="Arial" w:cs="Arial"/>
                <w:color w:val="000000" w:themeColor="text1"/>
                <w:sz w:val="18"/>
                <w:szCs w:val="18"/>
                <w:lang w:val="sr-Latn-RS"/>
              </w:rPr>
              <w:t xml:space="preserve">ица које је ангажовао на улазно/излазним капијама;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планирања и изградње,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w:t>
            </w:r>
            <w:r>
              <w:rPr>
                <w:rFonts w:ascii="Arial" w:hAnsi="Arial" w:cs="Arial"/>
                <w:color w:val="000000" w:themeColor="text1"/>
                <w:sz w:val="18"/>
                <w:szCs w:val="18"/>
                <w:lang w:val="sr-Latn-RS"/>
              </w:rPr>
              <w:t xml:space="preserve">00 РСД за сваки откривени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 из области управљања отпадом ,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Непоштовање закон</w:t>
            </w:r>
            <w:r>
              <w:rPr>
                <w:rFonts w:ascii="Arial" w:hAnsi="Arial" w:cs="Arial"/>
                <w:color w:val="000000" w:themeColor="text1"/>
                <w:sz w:val="18"/>
                <w:szCs w:val="18"/>
              </w:rPr>
              <w:t xml:space="preserve">a</w:t>
            </w:r>
            <w:r>
              <w:rPr>
                <w:rFonts w:ascii="Arial" w:hAnsi="Arial" w:cs="Arial"/>
                <w:color w:val="000000" w:themeColor="text1"/>
                <w:sz w:val="18"/>
                <w:szCs w:val="18"/>
                <w:lang w:val="ru-RU"/>
              </w:rPr>
              <w:t xml:space="preserve"> и прописа </w:t>
            </w:r>
            <w:r>
              <w:rPr>
                <w:rFonts w:ascii="Arial" w:hAnsi="Arial" w:cs="Arial"/>
                <w:color w:val="000000" w:themeColor="text1"/>
                <w:sz w:val="18"/>
                <w:szCs w:val="18"/>
                <w:lang w:val="ru-RU"/>
              </w:rPr>
              <w:t xml:space="preserve">из области управљања амбалажом и амбалажним отпадом,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bookmarkStart w:id="2" w:name="__DdeLink__11969_2908413253"/>
            <w:r>
              <w:rPr>
                <w:rFonts w:ascii="Arial" w:hAnsi="Arial" w:cs="Arial"/>
                <w:color w:val="000000" w:themeColor="text1"/>
                <w:sz w:val="18"/>
                <w:szCs w:val="18"/>
                <w:lang w:val="ru-RU"/>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случај;</w:t>
            </w:r>
            <w:bookmarkEnd w:id="2"/>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вода, од стране за</w:t>
            </w:r>
            <w:r>
              <w:rPr>
                <w:rFonts w:ascii="Arial" w:hAnsi="Arial" w:cs="Arial"/>
                <w:color w:val="000000" w:themeColor="text1"/>
                <w:sz w:val="18"/>
                <w:szCs w:val="18"/>
                <w:lang w:val="sr-Latn-RS"/>
              </w:rPr>
              <w:t xml:space="preserve">послених код Извршиоца и/или лица које је ангажовао; </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sr-Latn-RS"/>
              </w:rPr>
              <w:t xml:space="preserve"> из области заштите земљишта ,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ваздуха,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рада са хемикалијама и опасним материјама,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w:t>
            </w:r>
            <w:r>
              <w:rPr>
                <w:rFonts w:ascii="Arial" w:hAnsi="Arial" w:cs="Arial"/>
                <w:color w:val="000000" w:themeColor="text1"/>
                <w:sz w:val="18"/>
                <w:szCs w:val="18"/>
                <w:lang w:val="ru-RU"/>
              </w:rPr>
              <w:t xml:space="preserve">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w:t>
            </w:r>
            <w:r>
              <w:rPr>
                <w:rFonts w:ascii="Arial" w:hAnsi="Arial" w:cs="Arial"/>
                <w:color w:val="000000" w:themeColor="text1"/>
                <w:sz w:val="18"/>
                <w:szCs w:val="18"/>
                <w:lang w:val="ru-RU"/>
              </w:rPr>
              <w:t xml:space="preserve"> ЗЖС  које нису наведене у посебним казненим одредбама (нпр. 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буке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нејонизујућег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зрачења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др</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w:t>
            </w:r>
            <w:r>
              <w:rPr>
                <w:rFonts w:ascii="Arial" w:hAnsi="Arial" w:cs="Arial"/>
                <w:color w:val="000000" w:themeColor="text1"/>
                <w:sz w:val="18"/>
                <w:szCs w:val="18"/>
                <w:lang w:val="sr-Latn-RS"/>
              </w:rPr>
              <w:t xml:space="preserve">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Неовлашћено коришћење и/или руковање опрем</w:t>
            </w:r>
            <w:r>
              <w:rPr>
                <w:rFonts w:ascii="Arial" w:hAnsi="Arial" w:cs="Arial"/>
                <w:color w:val="000000" w:themeColor="text1"/>
                <w:sz w:val="18"/>
                <w:szCs w:val="18"/>
                <w:lang w:val="sr-Latn-RS"/>
              </w:rPr>
              <w:t xml:space="preserve">ом, средствима, оруђима, алатима и инсталацијама свих врста Наручиоца,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Догађај или оштећење изазвано ненамерним контактом са надземни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и/или подземни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електрични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водов</w:t>
            </w:r>
            <w:r>
              <w:rPr>
                <w:rFonts w:ascii="Arial" w:hAnsi="Arial" w:cs="Arial"/>
                <w:color w:val="000000" w:themeColor="text1"/>
                <w:sz w:val="18"/>
                <w:szCs w:val="18"/>
                <w:lang w:val="sr-Cyrl-RS"/>
              </w:rPr>
              <w:t xml:space="preserve">им</w:t>
            </w:r>
            <w:r>
              <w:rPr>
                <w:rFonts w:ascii="Arial" w:hAnsi="Arial" w:cs="Arial"/>
                <w:color w:val="000000" w:themeColor="text1"/>
                <w:sz w:val="18"/>
                <w:szCs w:val="18"/>
                <w:lang w:val="sr-Latn-RS"/>
              </w:rPr>
              <w:t xml:space="preserve">а опремом и/или средствима за рад, изазвано  непажњом или кршењем интерних правила Наручиоца</w:t>
            </w:r>
            <w:r>
              <w:rPr>
                <w:rFonts w:ascii="Arial" w:hAnsi="Arial" w:cs="Arial"/>
                <w:color w:val="000000" w:themeColor="text1"/>
                <w:sz w:val="18"/>
                <w:szCs w:val="18"/>
                <w:lang w:val="sr-Cyrl-RS"/>
              </w:rPr>
              <w:t xml:space="preserve"> приликом извођења 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w:t>
            </w:r>
            <w:r>
              <w:rPr>
                <w:rFonts w:ascii="Arial" w:hAnsi="Arial" w:cs="Arial"/>
                <w:color w:val="000000" w:themeColor="text1"/>
                <w:sz w:val="18"/>
                <w:szCs w:val="18"/>
                <w:lang w:val="sr-Latn-RS"/>
              </w:rPr>
              <w:t xml:space="preserve">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 случај недостављања тражене документације</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А</w:t>
            </w:r>
            <w:r>
              <w:rPr>
                <w:rFonts w:ascii="Arial" w:hAnsi="Arial" w:cs="Arial"/>
                <w:color w:val="000000" w:themeColor="text1"/>
                <w:sz w:val="18"/>
                <w:szCs w:val="18"/>
                <w:lang w:val="sr-Latn-RS"/>
              </w:rPr>
              <w:t xml:space="preserve">нгаж</w:t>
            </w:r>
            <w:r>
              <w:rPr>
                <w:rFonts w:ascii="Arial" w:hAnsi="Arial" w:cs="Arial"/>
                <w:color w:val="000000" w:themeColor="text1"/>
                <w:sz w:val="18"/>
                <w:szCs w:val="18"/>
                <w:lang w:val="sr-Cyrl-RS"/>
              </w:rPr>
              <w:t xml:space="preserve">овање</w:t>
            </w:r>
            <w:r>
              <w:rPr>
                <w:rFonts w:ascii="Arial" w:hAnsi="Arial" w:cs="Arial"/>
                <w:color w:val="000000" w:themeColor="text1"/>
                <w:sz w:val="18"/>
                <w:szCs w:val="18"/>
                <w:lang w:val="sr-Latn-RS"/>
              </w:rPr>
              <w:t xml:space="preserve"> додат</w:t>
            </w:r>
            <w:r>
              <w:rPr>
                <w:rFonts w:ascii="Arial" w:hAnsi="Arial" w:cs="Arial"/>
                <w:color w:val="000000" w:themeColor="text1"/>
                <w:sz w:val="18"/>
                <w:szCs w:val="18"/>
                <w:lang w:val="sr-Latn-RS"/>
              </w:rPr>
              <w:t xml:space="preserve">них запослених и</w:t>
            </w:r>
            <w:r>
              <w:rPr>
                <w:rFonts w:ascii="Arial" w:hAnsi="Arial" w:cs="Arial"/>
                <w:color w:val="000000" w:themeColor="text1"/>
                <w:sz w:val="18"/>
                <w:szCs w:val="18"/>
                <w:lang w:val="sr-Cyrl-RS"/>
              </w:rPr>
              <w:t xml:space="preserve">ли</w:t>
            </w:r>
            <w:r>
              <w:rPr>
                <w:rFonts w:ascii="Arial" w:hAnsi="Arial" w:cs="Arial"/>
                <w:color w:val="000000" w:themeColor="text1"/>
                <w:sz w:val="18"/>
                <w:szCs w:val="18"/>
                <w:lang w:val="sr-Latn-RS"/>
              </w:rPr>
              <w:t xml:space="preserve"> механизације без претходне сагласности Наручиоца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Cyrl-RS"/>
              </w:rPr>
              <w:t xml:space="preserve">.</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Неизвршавање пријаве повреде на раду на локацијама Блока Истраживање </w:t>
            </w:r>
            <w:r>
              <w:rPr>
                <w:rFonts w:ascii="Arial" w:hAnsi="Arial" w:cs="Arial"/>
                <w:color w:val="000000" w:themeColor="text1"/>
                <w:sz w:val="18"/>
                <w:szCs w:val="18"/>
                <w:lang w:val="sr-Cyrl-RS"/>
              </w:rPr>
              <w:t xml:space="preserve">и</w:t>
            </w:r>
            <w:r>
              <w:rPr>
                <w:rFonts w:ascii="Arial" w:hAnsi="Arial" w:cs="Arial"/>
                <w:color w:val="000000" w:themeColor="text1"/>
                <w:sz w:val="18"/>
                <w:szCs w:val="18"/>
                <w:lang w:val="sr-Latn-RS"/>
              </w:rPr>
              <w:t xml:space="preserve"> производња у складу са Законом о рударству и геолошким истраживањима чл.175</w:t>
            </w:r>
            <w:r>
              <w:rPr>
                <w:rFonts w:ascii="Arial" w:hAnsi="Arial" w:cs="Arial"/>
                <w:color w:val="000000" w:themeColor="text1"/>
                <w:sz w:val="18"/>
                <w:szCs w:val="18"/>
                <w:lang w:val="ru-RU"/>
              </w:rPr>
            </w:r>
          </w:p>
        </w:tc>
        <w:tc>
          <w:tcPr>
            <w:tcBorders/>
            <w:tcW w:w="3447" w:type="dxa"/>
            <w:vAlign w:val="center"/>
            <w:textDirection w:val="lrTb"/>
            <w:noWrap w:val="false"/>
          </w:tcPr>
          <w:p>
            <w:pPr>
              <w:pStyle w:val="1047"/>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w:t>
            </w:r>
            <w:r>
              <w:rPr>
                <w:rFonts w:ascii="Arial" w:hAnsi="Arial" w:cs="Arial"/>
                <w:color w:val="000000" w:themeColor="text1"/>
                <w:sz w:val="18"/>
                <w:szCs w:val="18"/>
                <w:lang w:val="sr-Latn-RS"/>
              </w:rPr>
              <w:t xml:space="preserve">0.000 РСД за сваки утврђени случај</w:t>
            </w:r>
            <w:r>
              <w:rPr>
                <w:rFonts w:ascii="Arial" w:hAnsi="Arial" w:cs="Arial"/>
                <w:color w:val="000000" w:themeColor="text1"/>
                <w:sz w:val="18"/>
                <w:szCs w:val="18"/>
                <w:lang w:val="ru-RU"/>
              </w:rPr>
            </w:r>
          </w:p>
        </w:tc>
      </w:tr>
    </w:tbl>
    <w:p>
      <w:pPr>
        <w:pBdr/>
        <w:spacing w:after="120" w:before="120"/>
        <w:ind w:hanging="720" w:left="720"/>
        <w:jc w:val="both"/>
        <w:rPr>
          <w:rFonts w:ascii="Arial" w:hAnsi="Arial" w:cs="Arial"/>
          <w:lang w:val="sr-Latn-RS"/>
        </w:rPr>
      </w:pPr>
      <w:r>
        <w:rPr>
          <w:rFonts w:ascii="Arial" w:hAnsi="Arial" w:cs="Arial"/>
          <w:lang w:val="sr-Latn-RS"/>
        </w:rPr>
        <w:t xml:space="preserve">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w:t>
      </w:r>
      <w:r>
        <w:rPr>
          <w:rFonts w:ascii="Arial" w:hAnsi="Arial" w:cs="Arial"/>
          <w:lang w:val="sr-Latn-RS"/>
        </w:rPr>
        <w:t xml:space="preserve"> обавеза из Прилога 3 HSE Споразума сматра опасном активношћу без обзира на то да ли су наступиле штетне последице.</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1.1.11. У случају да Наручиоцу  буде  изречена новчан</w:t>
      </w:r>
      <w:r>
        <w:rPr>
          <w:rFonts w:ascii="Arial" w:hAnsi="Arial" w:cs="Arial"/>
          <w:lang w:val="sr-Latn-RS"/>
        </w:rPr>
        <w:t xml:space="preserve">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w:t>
      </w:r>
      <w:r>
        <w:rPr>
          <w:rFonts w:ascii="Arial" w:hAnsi="Arial" w:cs="Arial"/>
          <w:lang w:val="sr-Latn-RS"/>
        </w:rPr>
        <w:t xml:space="preserve">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w:t>
      </w:r>
      <w:r>
        <w:rPr>
          <w:rFonts w:ascii="Arial" w:hAnsi="Arial" w:cs="Arial"/>
          <w:lang w:val="sr-Latn-RS"/>
        </w:rPr>
        <w:t xml:space="preserve">ном средњем курсу НБС који важи на дан плаћања.</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 xml:space="preserve">HSE</w:t>
      </w:r>
      <w:r>
        <w:rPr>
          <w:rFonts w:ascii="Arial" w:hAnsi="Arial" w:cs="Arial"/>
          <w:lang w:val="sr-Cyrl-RS"/>
        </w:rPr>
        <w:t xml:space="preserve"> за које су предвиђене санкције у складу са овим документом, </w:t>
      </w:r>
      <w:r>
        <w:rPr>
          <w:rFonts w:ascii="Arial" w:hAnsi="Arial" w:cs="Arial"/>
          <w:lang w:val="sr-Latn-RS"/>
        </w:rPr>
        <w:t xml:space="preserve">Извршилац има право да у складу са интерним упутство</w:t>
      </w:r>
      <w:r>
        <w:rPr>
          <w:rFonts w:ascii="Arial" w:hAnsi="Arial" w:cs="Arial"/>
          <w:lang w:val="sr-Latn-RS"/>
        </w:rPr>
        <w:t xml:space="preserve">м Наручиоца тражи замену покренуте новчане санкције одговарајућом корективном мером. Уколико се током трајања уговорних активности </w:t>
      </w:r>
      <w:r>
        <w:rPr>
          <w:rFonts w:ascii="Arial" w:hAnsi="Arial" w:cs="Arial"/>
          <w:lang w:val="sr-Latn-RS"/>
        </w:rPr>
        <w:t xml:space="preserve">утврде слични (поновљени) прекршаји из области БЗР, ЗОП и ЗЖС изриче се новчана санкција Извођачу укључујући и санкцију за пр</w:t>
      </w:r>
      <w:r>
        <w:rPr>
          <w:rFonts w:ascii="Arial" w:hAnsi="Arial" w:cs="Arial"/>
          <w:lang w:val="sr-Latn-RS"/>
        </w:rPr>
        <w:t xml:space="preserve">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r>
        <w:rPr>
          <w:rFonts w:ascii="Arial" w:hAnsi="Arial" w:cs="Arial"/>
          <w:lang w:val="sr-Latn-RS"/>
        </w:rPr>
      </w:r>
    </w:p>
    <w:sectPr>
      <w:headerReference w:type="first" r:id="rId9"/>
      <w:footerReference w:type="default" r:id="rId10"/>
      <w:footerReference w:type="first" r:id="rId11"/>
      <w:footnotePr/>
      <w:endnotePr/>
      <w:type w:val="continuous"/>
      <w:pgSz w:h="16838" w:orient="portrait" w:w="11906"/>
      <w:pgMar w:top="1417" w:right="1417" w:bottom="1417" w:left="1417" w:header="708" w:footer="708"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Monotype Sorts">
    <w:panose1 w:val="05010000000000000000"/>
  </w:font>
  <w:font w:name="Wingdings">
    <w:panose1 w:val="05010000000000000000"/>
  </w:font>
  <w:font w:name="Courier New">
    <w:panose1 w:val="02070309020205020404"/>
  </w:font>
  <w:font w:name="Symbol">
    <w:panose1 w:val="05010000000000000000"/>
  </w:font>
  <w:font w:name="Segoe UI">
    <w:panose1 w:val="020B0502040504020204"/>
  </w:font>
  <w:font w:name="Tms Rmn">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3"/>
      <w:pBdr/>
      <w:spacing w:after="120" w:before="120"/>
      <w:ind/>
      <w:rPr>
        <w:rFonts w:ascii="Arial" w:hAnsi="Arial" w:cs="Arial"/>
      </w:rPr>
    </w:pPr>
    <w:r>
      <w:rPr>
        <w:rFonts w:ascii="Arial" w:hAnsi="Arial" w:cs="Arial"/>
        <w:lang w:val="sr-Cyrl-RS"/>
      </w:rPr>
      <w:t xml:space="preserve">ТФУ.НИС.471</w:t>
    </w:r>
    <w:r>
      <w:rPr>
        <w:rFonts w:ascii="Arial" w:hAnsi="Arial" w:cs="Arial"/>
        <w:lang w:val="sr-Cyrl-RS"/>
      </w:rPr>
      <w:tab/>
    </w:r>
    <w:r>
      <w:rPr>
        <w:rFonts w:ascii="Arial" w:hAnsi="Arial" w:cs="Arial"/>
        <w:lang w:val="sr-Cyrl-RS"/>
      </w:rPr>
      <w:tab/>
    </w:r>
    <w:sdt>
      <w:sdtPr>
        <w:alias w:val=""/>
        <w15:appearance w15:val="boundingBox"/>
        <w:id w:val="-680194104"/>
        <w:tag w:val=""/>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3</w:t>
        </w:r>
        <w:r>
          <w:rPr>
            <w:rFonts w:ascii="Arial" w:hAnsi="Arial" w:cs="Arial"/>
          </w:rPr>
          <w:fldChar w:fldCharType="end"/>
        </w:r>
      </w:sdtContent>
    </w:sdt>
    <w:r/>
    <w:r>
      <w:rPr>
        <w:rFonts w:ascii="Arial" w:hAnsi="Arial" w:cs="Arial"/>
      </w:rPr>
    </w:r>
  </w:p>
  <w:p>
    <w:pPr>
      <w:pStyle w:val="1043"/>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3"/>
      <w:pBdr/>
      <w:spacing w:after="120" w:before="120"/>
      <w:ind/>
      <w:rPr>
        <w:rFonts w:ascii="Arial" w:hAnsi="Arial" w:cs="Arial"/>
      </w:rPr>
    </w:pPr>
    <w:r>
      <w:rPr>
        <w:rFonts w:ascii="Arial" w:hAnsi="Arial" w:cs="Arial"/>
        <w:lang w:val="sr-Cyrl-RS"/>
      </w:rPr>
      <w:t xml:space="preserve">ТФУ.НИС.471</w:t>
    </w:r>
    <w:r>
      <w:rPr>
        <w:rFonts w:ascii="Arial" w:hAnsi="Arial" w:cs="Arial"/>
      </w:rPr>
    </w:r>
  </w:p>
  <w:p>
    <w:pPr>
      <w:pStyle w:val="1043"/>
      <w:pBdr/>
      <w:spacing w:after="120" w:before="120"/>
      <w:ind/>
      <w:jc w:val="center"/>
      <w:rPr>
        <w:rFonts w:ascii="Arial" w:hAnsi="Arial" w:cs="Arial"/>
      </w:rPr>
    </w:pPr>
    <w:r>
      <w:rPr>
        <w:rFonts w:ascii="Arial" w:hAnsi="Arial" w:cs="Arial"/>
        <w:lang w:val="sr-Cyrl-RS"/>
      </w:rPr>
      <w:tab/>
    </w:r>
    <w:r>
      <w:rPr>
        <w:rFonts w:ascii="Arial" w:hAnsi="Arial" w:cs="Arial"/>
        <w:lang w:val="sr-Cyrl-RS"/>
      </w:rPr>
      <w:tab/>
    </w:r>
    <w:sdt>
      <w:sdtPr>
        <w:alias w:val=""/>
        <w15:appearance w15:val="boundingBox"/>
        <w:id w:val="-1739552277"/>
        <w:tag w:val=""/>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1</w:t>
        </w:r>
        <w:r>
          <w:rPr>
            <w:rFonts w:ascii="Arial" w:hAnsi="Arial" w:cs="Arial"/>
          </w:rPr>
          <w:fldChar w:fldCharType="end"/>
        </w:r>
      </w:sdtContent>
    </w:sdt>
    <w:r/>
    <w:r>
      <w:rPr>
        <w:rFonts w:ascii="Arial" w:hAnsi="Arial" w:cs="Arial"/>
      </w:rPr>
    </w:r>
  </w:p>
  <w:p>
    <w:pPr>
      <w:pStyle w:val="1043"/>
      <w:pBdr/>
      <w:spacing/>
      <w:ind/>
      <w:rPr/>
    </w:pPr>
    <w:r/>
    <w:r/>
  </w:p>
  <w:p>
    <w:pPr>
      <w:pStyle w:val="1043"/>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6962"/>
      <w:gridCol w:w="2110"/>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b/>
              <w:sz w:val="28"/>
              <w:szCs w:val="28"/>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0</wp:posOffset>
                    </wp:positionH>
                    <wp:positionV relativeFrom="paragraph">
                      <wp:posOffset>5080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40pt;mso-position-vertical:absolute;width:126.75pt;height:36.95pt;mso-wrap-distance-left:9.00pt;mso-wrap-distance-top:0.00pt;mso-wrap-distance-right:9.00pt;mso-wrap-distance-bottom:0.00pt;z-index:1;" stroked="false">
                    <v:imagedata r:id="rId1" o:title=""/>
                    <o:lock v:ext="edit" rotation="t"/>
                  </v:shape>
                </w:pict>
              </mc:Fallback>
            </mc:AlternateContent>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Cs w:val="16"/>
              <w:lang w:val="ru-RU"/>
            </w:rPr>
          </w:pPr>
          <w:r>
            <w:rPr>
              <w:rFonts w:ascii="Arial" w:hAnsi="Arial" w:eastAsia="Calibri" w:cs="Arial"/>
              <w:i/>
              <w:szCs w:val="16"/>
              <w:lang w:val="ru-RU"/>
            </w:rPr>
            <w:t xml:space="preserve">Типска форма</w:t>
          </w:r>
          <w:r>
            <w:rPr>
              <w:rFonts w:ascii="Arial" w:hAnsi="Arial" w:eastAsia="Calibri" w:cs="Arial"/>
              <w:i/>
              <w:szCs w:val="16"/>
              <w:lang w:val="ru-RU"/>
            </w:rPr>
          </w:r>
        </w:p>
      </w:tc>
    </w:tr>
  </w:tbl>
  <w:p>
    <w:pPr>
      <w:pStyle w:val="1041"/>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lvl w:ilvl="0">
      <w:isLgl w:val="false"/>
      <w:lvlJc w:val="left"/>
      <w:lvlText w:val="%1"/>
      <w:numFmt w:val="decimal"/>
      <w:pPr>
        <w:pBdr/>
        <w:spacing/>
        <w:ind w:hanging="360" w:left="360"/>
      </w:pPr>
      <w:rPr>
        <w:rFonts w:hint="default"/>
      </w:rPr>
      <w:start w:val="3"/>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3">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5">
    <w:lvl w:ilvl="0">
      <w:isLgl w:val="false"/>
      <w:lvlJc w:val="left"/>
      <w:lvlText w:val="%1"/>
      <w:numFmt w:val="decimal"/>
      <w:pPr>
        <w:pBdr/>
        <w:tabs>
          <w:tab w:val="num" w:leader="none" w:pos="432"/>
        </w:tabs>
        <w:spacing/>
        <w:ind w:hanging="432" w:left="432"/>
      </w:pPr>
      <w:pStyle w:val="864"/>
      <w:rPr>
        <w:rFonts w:hint="default"/>
      </w:rPr>
      <w:start w:val="2"/>
      <w:suff w:val="tab"/>
    </w:lvl>
    <w:lvl w:ilvl="1">
      <w:isLgl w:val="false"/>
      <w:lvlJc w:val="left"/>
      <w:lvlText w:val="%1.%2"/>
      <w:numFmt w:val="decimal"/>
      <w:pPr>
        <w:pBdr/>
        <w:tabs>
          <w:tab w:val="num" w:leader="none" w:pos="576"/>
        </w:tabs>
        <w:spacing/>
        <w:ind w:hanging="576" w:left="576"/>
      </w:pPr>
      <w:pStyle w:val="865"/>
      <w:rPr>
        <w:rFonts w:hint="default"/>
      </w:rPr>
      <w:start w:val="1"/>
      <w:suff w:val="tab"/>
    </w:lvl>
    <w:lvl w:ilvl="2">
      <w:isLgl w:val="false"/>
      <w:lvlJc w:val="left"/>
      <w:lvlText w:val="%1.%2.%3"/>
      <w:numFmt w:val="decimal"/>
      <w:pPr>
        <w:pBdr/>
        <w:tabs>
          <w:tab w:val="num" w:leader="none" w:pos="720"/>
        </w:tabs>
        <w:spacing/>
        <w:ind w:hanging="720" w:left="720"/>
      </w:pPr>
      <w:pStyle w:val="866"/>
      <w:rPr>
        <w:rFonts w:hint="default"/>
      </w:rPr>
      <w:start w:val="1"/>
      <w:suff w:val="tab"/>
    </w:lvl>
    <w:lvl w:ilvl="3">
      <w:isLgl w:val="false"/>
      <w:lvlJc w:val="left"/>
      <w:lvlText w:val="%1.%2.%3.%4"/>
      <w:numFmt w:val="decimal"/>
      <w:pPr>
        <w:pBdr/>
        <w:tabs>
          <w:tab w:val="num" w:leader="none" w:pos="864"/>
        </w:tabs>
        <w:spacing/>
        <w:ind w:hanging="864" w:left="864"/>
      </w:pPr>
      <w:pStyle w:val="867"/>
      <w:rPr>
        <w:rFonts w:hint="default"/>
      </w:rPr>
      <w:start w:val="1"/>
      <w:suff w:val="tab"/>
    </w:lvl>
    <w:lvl w:ilvl="4">
      <w:isLgl w:val="false"/>
      <w:lvlJc w:val="left"/>
      <w:lvlText w:val="%1.%2.%3.%4.%5"/>
      <w:numFmt w:val="decimal"/>
      <w:pPr>
        <w:pBdr/>
        <w:tabs>
          <w:tab w:val="num" w:leader="none" w:pos="1008"/>
        </w:tabs>
        <w:spacing/>
        <w:ind w:hanging="1008" w:left="1008"/>
      </w:pPr>
      <w:pStyle w:val="868"/>
      <w:rPr>
        <w:rFonts w:hint="default"/>
      </w:rPr>
      <w:start w:val="1"/>
      <w:suff w:val="tab"/>
    </w:lvl>
    <w:lvl w:ilvl="5">
      <w:isLgl w:val="false"/>
      <w:lvlJc w:val="left"/>
      <w:lvlText w:val="%1.%2.%3.%4.%5.%6"/>
      <w:numFmt w:val="decimal"/>
      <w:pPr>
        <w:pBdr/>
        <w:tabs>
          <w:tab w:val="num" w:leader="none" w:pos="1152"/>
        </w:tabs>
        <w:spacing/>
        <w:ind w:hanging="1152" w:left="1152"/>
      </w:pPr>
      <w:pStyle w:val="869"/>
      <w:rPr>
        <w:rFonts w:hint="default"/>
      </w:rPr>
      <w:start w:val="1"/>
      <w:suff w:val="tab"/>
    </w:lvl>
    <w:lvl w:ilvl="6">
      <w:isLgl w:val="false"/>
      <w:lvlJc w:val="left"/>
      <w:lvlText w:val="%1.%2.%3.%4.%5.%6.%7"/>
      <w:numFmt w:val="decimal"/>
      <w:pPr>
        <w:pBdr/>
        <w:tabs>
          <w:tab w:val="num" w:leader="none" w:pos="1296"/>
        </w:tabs>
        <w:spacing/>
        <w:ind w:hanging="1296" w:left="1296"/>
      </w:pPr>
      <w:pStyle w:val="870"/>
      <w:rPr>
        <w:rFonts w:hint="default"/>
      </w:rPr>
      <w:start w:val="1"/>
      <w:suff w:val="tab"/>
    </w:lvl>
    <w:lvl w:ilvl="7">
      <w:isLgl w:val="false"/>
      <w:lvlJc w:val="left"/>
      <w:lvlText w:val="%1.%2.%3.%4.%5.%6.%7.%8"/>
      <w:numFmt w:val="decimal"/>
      <w:pPr>
        <w:pBdr/>
        <w:tabs>
          <w:tab w:val="num" w:leader="none" w:pos="1440"/>
        </w:tabs>
        <w:spacing/>
        <w:ind w:hanging="1440" w:left="1440"/>
      </w:pPr>
      <w:pStyle w:val="871"/>
      <w:rPr>
        <w:rFonts w:hint="default"/>
      </w:rPr>
      <w:start w:val="1"/>
      <w:suff w:val="tab"/>
    </w:lvl>
    <w:lvl w:ilvl="8">
      <w:isLgl w:val="false"/>
      <w:lvlJc w:val="left"/>
      <w:lvlText w:val="%1.%2.%3.%4.%5.%6.%7.%8.%9"/>
      <w:numFmt w:val="decimal"/>
      <w:pPr>
        <w:pBdr/>
        <w:tabs>
          <w:tab w:val="num" w:leader="none" w:pos="1584"/>
        </w:tabs>
        <w:spacing/>
        <w:ind w:hanging="1584" w:left="1584"/>
      </w:pPr>
      <w:pStyle w:val="872"/>
      <w:rPr>
        <w:rFonts w:hint="default"/>
      </w:rPr>
      <w:start w:val="1"/>
      <w:suff w:val="tab"/>
    </w:lvl>
  </w:abstractNum>
  <w:abstractNum w:abstractNumId="6">
    <w:lvl w:ilvl="0">
      <w:isLgl w:val="false"/>
      <w:lvlJc w:val="left"/>
      <w:lvlText w:val=""/>
      <w:numFmt w:val="bullet"/>
      <w:pPr>
        <w:pBdr/>
        <w:spacing/>
        <w:ind w:hanging="360" w:left="1494"/>
      </w:pPr>
      <w:rPr>
        <w:rFonts w:hint="default" w:ascii="Symbol" w:hAnsi="Symbol"/>
      </w:rPr>
      <w:start w:val="1"/>
      <w:suff w:val="tab"/>
    </w:lvl>
    <w:lvl w:ilvl="1">
      <w:isLgl w:val="false"/>
      <w:lvlJc w:val="left"/>
      <w:lvlText w:val="o"/>
      <w:numFmt w:val="bullet"/>
      <w:pPr>
        <w:pBdr/>
        <w:spacing/>
        <w:ind w:hanging="360" w:left="2214"/>
      </w:pPr>
      <w:rPr>
        <w:rFonts w:hint="default" w:ascii="Courier New" w:hAnsi="Courier New" w:cs="Courier New"/>
      </w:rPr>
      <w:start w:val="1"/>
      <w:suff w:val="tab"/>
    </w:lvl>
    <w:lvl w:ilvl="2">
      <w:isLgl w:val="false"/>
      <w:lvlJc w:val="left"/>
      <w:lvlText w:val=""/>
      <w:numFmt w:val="bullet"/>
      <w:pPr>
        <w:pBdr/>
        <w:spacing/>
        <w:ind w:hanging="360" w:left="2934"/>
      </w:pPr>
      <w:rPr>
        <w:rFonts w:hint="default" w:ascii="Wingdings" w:hAnsi="Wingdings"/>
      </w:rPr>
      <w:start w:val="1"/>
      <w:suff w:val="tab"/>
    </w:lvl>
    <w:lvl w:ilvl="3">
      <w:isLgl w:val="false"/>
      <w:lvlJc w:val="left"/>
      <w:lvlText w:val=""/>
      <w:numFmt w:val="bullet"/>
      <w:pPr>
        <w:pBdr/>
        <w:spacing/>
        <w:ind w:hanging="360" w:left="3654"/>
      </w:pPr>
      <w:rPr>
        <w:rFonts w:hint="default" w:ascii="Symbol" w:hAnsi="Symbol"/>
      </w:rPr>
      <w:start w:val="1"/>
      <w:suff w:val="tab"/>
    </w:lvl>
    <w:lvl w:ilvl="4">
      <w:isLgl w:val="false"/>
      <w:lvlJc w:val="left"/>
      <w:lvlText w:val="o"/>
      <w:numFmt w:val="bullet"/>
      <w:pPr>
        <w:pBdr/>
        <w:spacing/>
        <w:ind w:hanging="360" w:left="4374"/>
      </w:pPr>
      <w:rPr>
        <w:rFonts w:hint="default" w:ascii="Courier New" w:hAnsi="Courier New" w:cs="Courier New"/>
      </w:rPr>
      <w:start w:val="1"/>
      <w:suff w:val="tab"/>
    </w:lvl>
    <w:lvl w:ilvl="5">
      <w:isLgl w:val="false"/>
      <w:lvlJc w:val="left"/>
      <w:lvlText w:val=""/>
      <w:numFmt w:val="bullet"/>
      <w:pPr>
        <w:pBdr/>
        <w:spacing/>
        <w:ind w:hanging="360" w:left="5094"/>
      </w:pPr>
      <w:rPr>
        <w:rFonts w:hint="default" w:ascii="Wingdings" w:hAnsi="Wingdings"/>
      </w:rPr>
      <w:start w:val="1"/>
      <w:suff w:val="tab"/>
    </w:lvl>
    <w:lvl w:ilvl="6">
      <w:isLgl w:val="false"/>
      <w:lvlJc w:val="left"/>
      <w:lvlText w:val=""/>
      <w:numFmt w:val="bullet"/>
      <w:pPr>
        <w:pBdr/>
        <w:spacing/>
        <w:ind w:hanging="360" w:left="5814"/>
      </w:pPr>
      <w:rPr>
        <w:rFonts w:hint="default" w:ascii="Symbol" w:hAnsi="Symbol"/>
      </w:rPr>
      <w:start w:val="1"/>
      <w:suff w:val="tab"/>
    </w:lvl>
    <w:lvl w:ilvl="7">
      <w:isLgl w:val="false"/>
      <w:lvlJc w:val="left"/>
      <w:lvlText w:val="o"/>
      <w:numFmt w:val="bullet"/>
      <w:pPr>
        <w:pBdr/>
        <w:spacing/>
        <w:ind w:hanging="360" w:left="6534"/>
      </w:pPr>
      <w:rPr>
        <w:rFonts w:hint="default" w:ascii="Courier New" w:hAnsi="Courier New" w:cs="Courier New"/>
      </w:rPr>
      <w:start w:val="1"/>
      <w:suff w:val="tab"/>
    </w:lvl>
    <w:lvl w:ilvl="8">
      <w:isLgl w:val="false"/>
      <w:lvlJc w:val="left"/>
      <w:lvlText w:val=""/>
      <w:numFmt w:val="bullet"/>
      <w:pPr>
        <w:pBdr/>
        <w:spacing/>
        <w:ind w:hanging="360" w:left="7254"/>
      </w:pPr>
      <w:rPr>
        <w:rFonts w:hint="default" w:ascii="Wingdings" w:hAnsi="Wingdings"/>
      </w:rPr>
      <w:start w:val="1"/>
      <w:suff w:val="tab"/>
    </w:lvl>
  </w:abstractNum>
  <w:abstractNum w:abstractNumId="7">
    <w:lvl w:ilvl="0">
      <w:isLgl w:val="false"/>
      <w:lvlJc w:val="left"/>
      <w:lvlText w:val="%1."/>
      <w:numFmt w:val="decimal"/>
      <w:pPr>
        <w:pBdr/>
        <w:spacing/>
        <w:ind w:hanging="390" w:left="390"/>
      </w:pPr>
      <w:rPr>
        <w:rFonts w:hint="default"/>
      </w:rPr>
      <w:start w:val="7"/>
      <w:suff w:val="tab"/>
    </w:lvl>
    <w:lvl w:ilvl="1">
      <w:isLgl w:val="false"/>
      <w:lvlJc w:val="left"/>
      <w:lvlText w:val="%1.%2."/>
      <w:numFmt w:val="decimal"/>
      <w:pPr>
        <w:pBdr/>
        <w:spacing/>
        <w:ind w:hanging="720" w:left="1512"/>
      </w:pPr>
      <w:rPr>
        <w:rFonts w:hint="default"/>
      </w:rPr>
      <w:start w:val="1"/>
      <w:suff w:val="tab"/>
    </w:lvl>
    <w:lvl w:ilvl="2">
      <w:isLgl w:val="false"/>
      <w:lvlJc w:val="left"/>
      <w:lvlText w:val="%1.%2.%3."/>
      <w:numFmt w:val="decimal"/>
      <w:pPr>
        <w:pBdr/>
        <w:spacing/>
        <w:ind w:hanging="720" w:left="2304"/>
      </w:pPr>
      <w:rPr>
        <w:rFonts w:hint="default"/>
      </w:rPr>
      <w:start w:val="1"/>
      <w:suff w:val="tab"/>
    </w:lvl>
    <w:lvl w:ilvl="3">
      <w:isLgl w:val="false"/>
      <w:lvlJc w:val="left"/>
      <w:lvlText w:val="%1.%2.%3.%4."/>
      <w:numFmt w:val="decimal"/>
      <w:pPr>
        <w:pBdr/>
        <w:spacing/>
        <w:ind w:hanging="1080" w:left="3456"/>
      </w:pPr>
      <w:rPr>
        <w:rFonts w:hint="default"/>
      </w:rPr>
      <w:start w:val="1"/>
      <w:suff w:val="tab"/>
    </w:lvl>
    <w:lvl w:ilvl="4">
      <w:isLgl w:val="false"/>
      <w:lvlJc w:val="left"/>
      <w:lvlText w:val="%1.%2.%3.%4.%5."/>
      <w:numFmt w:val="decimal"/>
      <w:pPr>
        <w:pBdr/>
        <w:spacing/>
        <w:ind w:hanging="1080" w:left="4248"/>
      </w:pPr>
      <w:rPr>
        <w:rFonts w:hint="default"/>
      </w:rPr>
      <w:start w:val="1"/>
      <w:suff w:val="tab"/>
    </w:lvl>
    <w:lvl w:ilvl="5">
      <w:isLgl w:val="false"/>
      <w:lvlJc w:val="left"/>
      <w:lvlText w:val="%1.%2.%3.%4.%5.%6."/>
      <w:numFmt w:val="decimal"/>
      <w:pPr>
        <w:pBdr/>
        <w:spacing/>
        <w:ind w:hanging="1440" w:left="5400"/>
      </w:pPr>
      <w:rPr>
        <w:rFonts w:hint="default"/>
      </w:rPr>
      <w:start w:val="1"/>
      <w:suff w:val="tab"/>
    </w:lvl>
    <w:lvl w:ilvl="6">
      <w:isLgl w:val="false"/>
      <w:lvlJc w:val="left"/>
      <w:lvlText w:val="%1.%2.%3.%4.%5.%6.%7."/>
      <w:numFmt w:val="decimal"/>
      <w:pPr>
        <w:pBdr/>
        <w:spacing/>
        <w:ind w:hanging="1440" w:left="6192"/>
      </w:pPr>
      <w:rPr>
        <w:rFonts w:hint="default"/>
      </w:rPr>
      <w:start w:val="1"/>
      <w:suff w:val="tab"/>
    </w:lvl>
    <w:lvl w:ilvl="7">
      <w:isLgl w:val="false"/>
      <w:lvlJc w:val="left"/>
      <w:lvlText w:val="%1.%2.%3.%4.%5.%6.%7.%8."/>
      <w:numFmt w:val="decimal"/>
      <w:pPr>
        <w:pBdr/>
        <w:spacing/>
        <w:ind w:hanging="1800" w:left="7344"/>
      </w:pPr>
      <w:rPr>
        <w:rFonts w:hint="default"/>
      </w:rPr>
      <w:start w:val="1"/>
      <w:suff w:val="tab"/>
    </w:lvl>
    <w:lvl w:ilvl="8">
      <w:isLgl w:val="false"/>
      <w:lvlJc w:val="left"/>
      <w:lvlText w:val="%1.%2.%3.%4.%5.%6.%7.%8.%9."/>
      <w:numFmt w:val="decimal"/>
      <w:pPr>
        <w:pBdr/>
        <w:spacing/>
        <w:ind w:hanging="2160" w:left="8496"/>
      </w:pPr>
      <w:rPr>
        <w:rFonts w:hint="default"/>
      </w:rPr>
      <w:start w:val="1"/>
      <w:suff w:val="tab"/>
    </w:lvl>
  </w:abstractNum>
  <w:abstractNum w:abstractNumId="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1.%2."/>
      <w:numFmt w:val="decimal"/>
      <w:pPr>
        <w:pBdr/>
        <w:tabs>
          <w:tab w:val="num" w:leader="none" w:pos="720"/>
        </w:tabs>
        <w:spacing/>
        <w:ind w:hanging="432" w:left="432"/>
      </w:pPr>
      <w:rPr>
        <w:rFonts w:hint="default"/>
        <w:b w:val="0"/>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2">
    <w:lvl w:ilvl="0">
      <w:isLgl w:val="false"/>
      <w:lvlJc w:val="left"/>
      <w:lvlText w:val="%1."/>
      <w:numFmt w:val="decimal"/>
      <w:pPr>
        <w:pBdr/>
        <w:tabs>
          <w:tab w:val="num" w:leader="none" w:pos="360"/>
        </w:tabs>
        <w:spacing/>
        <w:ind w:hanging="360" w:left="360"/>
      </w:pPr>
      <w:rPr>
        <w:rFonts w:hint="default" w:ascii="Arial" w:hAnsi="Arial" w:cs="Arial"/>
        <w:b/>
      </w:rPr>
      <w:start w:val="1"/>
      <w:suff w:val="tab"/>
    </w:lvl>
    <w:lvl w:ilvl="1">
      <w:isLgl w:val="false"/>
      <w:lvlJc w:val="left"/>
      <w:lvlText w:val=""/>
      <w:numFmt w:val="bullet"/>
      <w:pPr>
        <w:pBdr/>
        <w:tabs>
          <w:tab w:val="num" w:leader="none" w:pos="720"/>
        </w:tabs>
        <w:spacing/>
        <w:ind w:hanging="432" w:left="432"/>
      </w:pPr>
      <w:rPr>
        <w:rFonts w:hint="default" w:ascii="Symbol" w:hAnsi="Symbol"/>
        <w:b w:val="0"/>
        <w:color w:val="000000" w:themeColor="text1"/>
        <w:lang w:val="sr-Cyrl-RS"/>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1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lvl w:ilvl="0">
      <w:isLgl w:val="false"/>
      <w:lvlJc w:val="left"/>
      <w:lvlText w:val="%1"/>
      <w:numFmt w:val="decimal"/>
      <w:pPr>
        <w:pBdr/>
        <w:spacing/>
        <w:ind w:hanging="360" w:left="360"/>
      </w:pPr>
      <w:rPr>
        <w:rFonts w:hint="default" w:ascii="Arial" w:hAnsi="Arial" w:cs="Arial"/>
        <w:b/>
      </w:rPr>
      <w:start w:val="2"/>
      <w:suff w:val="tab"/>
    </w:lvl>
    <w:lvl w:ilvl="1">
      <w:isLgl w:val="false"/>
      <w:lvlJc w:val="left"/>
      <w:lvlText w:val="%1.%2"/>
      <w:numFmt w:val="decimal"/>
      <w:pPr>
        <w:pBdr/>
        <w:spacing/>
        <w:ind w:hanging="360" w:left="360"/>
      </w:pPr>
      <w:rPr>
        <w:rFonts w:hint="default" w:ascii="Arial" w:hAnsi="Arial" w:cs="Arial"/>
        <w:b/>
      </w:rPr>
      <w:start w:val="2"/>
      <w:suff w:val="tab"/>
    </w:lvl>
    <w:lvl w:ilvl="2">
      <w:isLgl w:val="false"/>
      <w:lvlJc w:val="left"/>
      <w:lvlText w:val="%1.%2.%3"/>
      <w:numFmt w:val="decimal"/>
      <w:pPr>
        <w:pBdr/>
        <w:spacing/>
        <w:ind w:hanging="720" w:left="720"/>
      </w:pPr>
      <w:rPr>
        <w:rFonts w:hint="default" w:ascii="Arial" w:hAnsi="Arial" w:cs="Arial"/>
        <w:b/>
      </w:rPr>
      <w:start w:val="4"/>
      <w:suff w:val="tab"/>
    </w:lvl>
    <w:lvl w:ilvl="3">
      <w:isLgl w:val="false"/>
      <w:lvlJc w:val="left"/>
      <w:lvlText w:val="%1.%2.%3.%4"/>
      <w:numFmt w:val="decimal"/>
      <w:pPr>
        <w:pBdr/>
        <w:spacing/>
        <w:ind w:hanging="720" w:left="720"/>
      </w:pPr>
      <w:rPr>
        <w:rFonts w:hint="default" w:ascii="Times New Roman" w:hAnsi="Times New Roman"/>
        <w:b w:val="0"/>
      </w:rPr>
      <w:start w:val="1"/>
      <w:suff w:val="tab"/>
    </w:lvl>
    <w:lvl w:ilvl="4">
      <w:isLgl w:val="false"/>
      <w:lvlJc w:val="left"/>
      <w:lvlText w:val="%1.%2.%3.%4.%5"/>
      <w:numFmt w:val="decimal"/>
      <w:pPr>
        <w:pBdr/>
        <w:spacing/>
        <w:ind w:hanging="1080" w:left="1080"/>
      </w:pPr>
      <w:rPr>
        <w:rFonts w:hint="default" w:ascii="Times New Roman" w:hAnsi="Times New Roman"/>
        <w:b w:val="0"/>
      </w:rPr>
      <w:start w:val="1"/>
      <w:suff w:val="tab"/>
    </w:lvl>
    <w:lvl w:ilvl="5">
      <w:isLgl w:val="false"/>
      <w:lvlJc w:val="left"/>
      <w:lvlText w:val="%1.%2.%3.%4.%5.%6"/>
      <w:numFmt w:val="decimal"/>
      <w:pPr>
        <w:pBdr/>
        <w:spacing/>
        <w:ind w:hanging="1080" w:left="1080"/>
      </w:pPr>
      <w:rPr>
        <w:rFonts w:hint="default" w:ascii="Times New Roman" w:hAnsi="Times New Roman"/>
        <w:b w:val="0"/>
      </w:rPr>
      <w:start w:val="1"/>
      <w:suff w:val="tab"/>
    </w:lvl>
    <w:lvl w:ilvl="6">
      <w:isLgl w:val="false"/>
      <w:lvlJc w:val="left"/>
      <w:lvlText w:val="%1.%2.%3.%4.%5.%6.%7"/>
      <w:numFmt w:val="decimal"/>
      <w:pPr>
        <w:pBdr/>
        <w:spacing/>
        <w:ind w:hanging="1440" w:left="1440"/>
      </w:pPr>
      <w:rPr>
        <w:rFonts w:hint="default" w:ascii="Times New Roman" w:hAnsi="Times New Roman"/>
        <w:b w:val="0"/>
      </w:rPr>
      <w:start w:val="1"/>
      <w:suff w:val="tab"/>
    </w:lvl>
    <w:lvl w:ilvl="7">
      <w:isLgl w:val="false"/>
      <w:lvlJc w:val="left"/>
      <w:lvlText w:val="%1.%2.%3.%4.%5.%6.%7.%8"/>
      <w:numFmt w:val="decimal"/>
      <w:pPr>
        <w:pBdr/>
        <w:spacing/>
        <w:ind w:hanging="1440" w:left="1440"/>
      </w:pPr>
      <w:rPr>
        <w:rFonts w:hint="default" w:ascii="Times New Roman" w:hAnsi="Times New Roman"/>
        <w:b w:val="0"/>
      </w:rPr>
      <w:start w:val="1"/>
      <w:suff w:val="tab"/>
    </w:lvl>
    <w:lvl w:ilvl="8">
      <w:isLgl w:val="false"/>
      <w:lvlJc w:val="left"/>
      <w:lvlText w:val="%1.%2.%3.%4.%5.%6.%7.%8.%9"/>
      <w:numFmt w:val="decimal"/>
      <w:pPr>
        <w:pBdr/>
        <w:spacing/>
        <w:ind w:hanging="1800" w:left="1800"/>
      </w:pPr>
      <w:rPr>
        <w:rFonts w:hint="default" w:ascii="Times New Roman" w:hAnsi="Times New Roman"/>
        <w:b w:val="0"/>
      </w:rPr>
      <w:start w:val="1"/>
      <w:suff w:val="tab"/>
    </w:lvl>
  </w:abstractNum>
  <w:abstractNum w:abstractNumId="18">
    <w:lvl w:ilvl="0">
      <w:isLgl w:val="false"/>
      <w:lvlJc w:val="left"/>
      <w:lvlText w:val=""/>
      <w:numFmt w:val="bullet"/>
      <w:pPr>
        <w:pBdr/>
        <w:tabs>
          <w:tab w:val="num" w:leader="none" w:pos="964"/>
        </w:tabs>
        <w:spacing/>
        <w:ind w:hanging="964" w:left="964"/>
      </w:pPr>
      <w:pStyle w:val="1039"/>
      <w:rPr>
        <w:rFonts w:hint="default" w:ascii="Monotype Sorts" w:hAnsi="Monotype Sorts"/>
        <w:sz w:val="18"/>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9">
    <w:styleLink w:val="1067"/>
    <w:lvl w:ilvl="0">
      <w:isLgl w:val="false"/>
      <w:lvlJc w:val="left"/>
      <w:lvlText w:val="%1."/>
      <w:numFmt w:val="decimal"/>
      <w:pPr>
        <w:pBdr/>
        <w:tabs>
          <w:tab w:val="num" w:leader="none" w:pos="360"/>
        </w:tabs>
        <w:spacing/>
        <w:ind w:hanging="360" w:left="360"/>
      </w:pPr>
      <w:pStyle w:val="1067"/>
      <w:rPr>
        <w:rFonts w:hint="default"/>
      </w:rPr>
      <w:start w:val="4"/>
      <w:suff w:val="tab"/>
    </w:lvl>
    <w:lvl w:ilvl="1">
      <w:isLgl w:val="false"/>
      <w:lvlJc w:val="left"/>
      <w:lvlText w:val="%1.%2."/>
      <w:numFmt w:val="decimal"/>
      <w:pPr>
        <w:pBdr/>
        <w:tabs>
          <w:tab w:val="num" w:leader="none" w:pos="720"/>
        </w:tabs>
        <w:spacing/>
        <w:ind w:hanging="432" w:left="432"/>
      </w:pPr>
      <w:rPr>
        <w:rFonts w:hint="default"/>
        <w:b w:val="0"/>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lvl w:ilvl="0">
      <w:isLgl w:val="false"/>
      <w:lvlJc w:val="left"/>
      <w:lvlText w:val="%1."/>
      <w:numFmt w:val="decimal"/>
      <w:pPr>
        <w:pBdr/>
        <w:spacing/>
        <w:ind w:hanging="360" w:left="720"/>
      </w:pPr>
      <w:rPr>
        <w:rFonts w:hint="default" w:ascii="Arial" w:hAnsi="Arial" w:cs="Arial"/>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2">
    <w:lvl w:ilvl="0">
      <w:isLgl w:val="false"/>
      <w:lvlJc w:val="left"/>
      <w:lvlText w:val=""/>
      <w:numFmt w:val="bullet"/>
      <w:pPr>
        <w:pBdr/>
        <w:spacing/>
        <w:ind w:hanging="360" w:left="1429"/>
      </w:pPr>
      <w:rPr>
        <w:rFonts w:hint="default" w:ascii="Symbol" w:hAnsi="Symbol"/>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2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lvl w:ilvl="0">
      <w:isLgl w:val="false"/>
      <w:lvlJc w:val="left"/>
      <w:lvlText w:val="-"/>
      <w:numFmt w:val="bullet"/>
      <w:pPr>
        <w:pBdr/>
        <w:spacing/>
        <w:ind w:hanging="360" w:left="1080"/>
      </w:pPr>
      <w:rPr>
        <w:rFonts w:hint="default" w:ascii="Arial" w:hAnsi="Arial" w:eastAsia="Times New Roman" w:cs="Arial"/>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5">
    <w:lvl w:ilvl="0">
      <w:isLgl w:val="false"/>
      <w:lvlJc w:val="left"/>
      <w:lvlText w:val=""/>
      <w:numFmt w:val="bullet"/>
      <w:pPr>
        <w:pBdr/>
        <w:spacing/>
        <w:ind w:hanging="360" w:left="1211"/>
      </w:pPr>
      <w:rPr>
        <w:rFonts w:hint="default" w:ascii="Symbol" w:hAnsi="Symbol"/>
      </w:rPr>
      <w:start w:val="1"/>
      <w:suff w:val="tab"/>
    </w:lvl>
    <w:lvl w:ilvl="1">
      <w:isLgl w:val="false"/>
      <w:lvlJc w:val="left"/>
      <w:lvlText w:val="o"/>
      <w:numFmt w:val="bullet"/>
      <w:pPr>
        <w:pBdr/>
        <w:spacing/>
        <w:ind w:hanging="360" w:left="1931"/>
      </w:pPr>
      <w:rPr>
        <w:rFonts w:hint="default" w:ascii="Courier New" w:hAnsi="Courier New" w:cs="Courier New"/>
      </w:rPr>
      <w:start w:val="1"/>
      <w:suff w:val="tab"/>
    </w:lvl>
    <w:lvl w:ilvl="2">
      <w:isLgl w:val="false"/>
      <w:lvlJc w:val="left"/>
      <w:lvlText w:val=""/>
      <w:numFmt w:val="bullet"/>
      <w:pPr>
        <w:pBdr/>
        <w:spacing/>
        <w:ind w:hanging="360" w:left="2651"/>
      </w:pPr>
      <w:rPr>
        <w:rFonts w:hint="default" w:ascii="Wingdings" w:hAnsi="Wingdings"/>
      </w:rPr>
      <w:start w:val="1"/>
      <w:suff w:val="tab"/>
    </w:lvl>
    <w:lvl w:ilvl="3">
      <w:isLgl w:val="false"/>
      <w:lvlJc w:val="left"/>
      <w:lvlText w:val=""/>
      <w:numFmt w:val="bullet"/>
      <w:pPr>
        <w:pBdr/>
        <w:spacing/>
        <w:ind w:hanging="360" w:left="3371"/>
      </w:pPr>
      <w:rPr>
        <w:rFonts w:hint="default" w:ascii="Symbol" w:hAnsi="Symbol"/>
      </w:rPr>
      <w:start w:val="1"/>
      <w:suff w:val="tab"/>
    </w:lvl>
    <w:lvl w:ilvl="4">
      <w:isLgl w:val="false"/>
      <w:lvlJc w:val="left"/>
      <w:lvlText w:val="o"/>
      <w:numFmt w:val="bullet"/>
      <w:pPr>
        <w:pBdr/>
        <w:spacing/>
        <w:ind w:hanging="360" w:left="4091"/>
      </w:pPr>
      <w:rPr>
        <w:rFonts w:hint="default" w:ascii="Courier New" w:hAnsi="Courier New" w:cs="Courier New"/>
      </w:rPr>
      <w:start w:val="1"/>
      <w:suff w:val="tab"/>
    </w:lvl>
    <w:lvl w:ilvl="5">
      <w:isLgl w:val="false"/>
      <w:lvlJc w:val="left"/>
      <w:lvlText w:val=""/>
      <w:numFmt w:val="bullet"/>
      <w:pPr>
        <w:pBdr/>
        <w:spacing/>
        <w:ind w:hanging="360" w:left="4811"/>
      </w:pPr>
      <w:rPr>
        <w:rFonts w:hint="default" w:ascii="Wingdings" w:hAnsi="Wingdings"/>
      </w:rPr>
      <w:start w:val="1"/>
      <w:suff w:val="tab"/>
    </w:lvl>
    <w:lvl w:ilvl="6">
      <w:isLgl w:val="false"/>
      <w:lvlJc w:val="left"/>
      <w:lvlText w:val=""/>
      <w:numFmt w:val="bullet"/>
      <w:pPr>
        <w:pBdr/>
        <w:spacing/>
        <w:ind w:hanging="360" w:left="5531"/>
      </w:pPr>
      <w:rPr>
        <w:rFonts w:hint="default" w:ascii="Symbol" w:hAnsi="Symbol"/>
      </w:rPr>
      <w:start w:val="1"/>
      <w:suff w:val="tab"/>
    </w:lvl>
    <w:lvl w:ilvl="7">
      <w:isLgl w:val="false"/>
      <w:lvlJc w:val="left"/>
      <w:lvlText w:val="o"/>
      <w:numFmt w:val="bullet"/>
      <w:pPr>
        <w:pBdr/>
        <w:spacing/>
        <w:ind w:hanging="360" w:left="6251"/>
      </w:pPr>
      <w:rPr>
        <w:rFonts w:hint="default" w:ascii="Courier New" w:hAnsi="Courier New" w:cs="Courier New"/>
      </w:rPr>
      <w:start w:val="1"/>
      <w:suff w:val="tab"/>
    </w:lvl>
    <w:lvl w:ilvl="8">
      <w:isLgl w:val="false"/>
      <w:lvlJc w:val="left"/>
      <w:lvlText w:val=""/>
      <w:numFmt w:val="bullet"/>
      <w:pPr>
        <w:pBdr/>
        <w:spacing/>
        <w:ind w:hanging="360" w:left="6971"/>
      </w:pPr>
      <w:rPr>
        <w:rFonts w:hint="default" w:ascii="Wingdings" w:hAnsi="Wingdings"/>
      </w:rPr>
      <w:start w:val="1"/>
      <w:suff w:val="tab"/>
    </w:lvl>
  </w:abstractNum>
  <w:abstractNum w:abstractNumId="26">
    <w:lvl w:ilvl="0">
      <w:isLgl w:val="false"/>
      <w:lvlJc w:val="left"/>
      <w:lvlText w:val="%1."/>
      <w:numFmt w:val="decimal"/>
      <w:pPr>
        <w:pBdr/>
        <w:tabs>
          <w:tab w:val="num" w:leader="none" w:pos="360"/>
        </w:tabs>
        <w:spacing/>
        <w:ind w:hanging="360" w:left="360"/>
      </w:pPr>
      <w:rPr>
        <w:rFonts w:hint="default" w:ascii="Arial" w:hAnsi="Arial" w:cs="Arial"/>
        <w:b/>
      </w:rPr>
      <w:start w:val="1"/>
      <w:suff w:val="tab"/>
    </w:lvl>
    <w:lvl w:ilvl="1">
      <w:isLgl w:val="false"/>
      <w:lvlJc w:val="left"/>
      <w:lvlText w:val="%2.1"/>
      <w:numFmt w:val="decimal"/>
      <w:pPr>
        <w:pBdr/>
        <w:tabs>
          <w:tab w:val="num" w:leader="none" w:pos="720"/>
        </w:tabs>
        <w:spacing/>
        <w:ind w:hanging="432" w:left="432"/>
      </w:pPr>
      <w:rPr>
        <w:rFonts w:hint="default"/>
        <w:b w:val="0"/>
        <w:color w:val="000000" w:themeColor="text1"/>
        <w:lang w:val="sr-Cyrl-RS"/>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7">
    <w:lvl w:ilvl="0">
      <w:isLgl w:val="false"/>
      <w:lvlJc w:val="left"/>
      <w:lvlText w:val="%1"/>
      <w:numFmt w:val="decimal"/>
      <w:pPr>
        <w:pBdr/>
        <w:spacing/>
        <w:ind w:hanging="360" w:left="360"/>
      </w:pPr>
      <w:rPr>
        <w:rFonts w:hint="default" w:ascii="Arial" w:hAnsi="Arial" w:cs="Arial"/>
        <w:b/>
      </w:rPr>
      <w:start w:val="2"/>
      <w:suff w:val="tab"/>
    </w:lvl>
    <w:lvl w:ilvl="1">
      <w:isLgl w:val="false"/>
      <w:lvlJc w:val="left"/>
      <w:lvlText w:val="%1.%2"/>
      <w:numFmt w:val="decimal"/>
      <w:pPr>
        <w:pBdr/>
        <w:spacing/>
        <w:ind w:hanging="360" w:left="360"/>
      </w:pPr>
      <w:rPr>
        <w:rFonts w:hint="default" w:ascii="Arial" w:hAnsi="Arial" w:cs="Arial"/>
        <w:b/>
      </w:rPr>
      <w:start w:val="2"/>
      <w:suff w:val="tab"/>
    </w:lvl>
    <w:lvl w:ilvl="2">
      <w:isLgl w:val="false"/>
      <w:lvlJc w:val="left"/>
      <w:lvlText w:val="%1.%2.%3"/>
      <w:numFmt w:val="decimal"/>
      <w:pPr>
        <w:pBdr/>
        <w:spacing/>
        <w:ind w:hanging="720" w:left="720"/>
      </w:pPr>
      <w:rPr>
        <w:rFonts w:hint="default" w:ascii="Arial" w:hAnsi="Arial" w:cs="Arial"/>
        <w:b/>
      </w:rPr>
      <w:start w:val="1"/>
      <w:suff w:val="tab"/>
    </w:lvl>
    <w:lvl w:ilvl="3">
      <w:isLgl w:val="false"/>
      <w:lvlJc w:val="left"/>
      <w:lvlText w:val="%1.%2.%3.%4"/>
      <w:numFmt w:val="decimal"/>
      <w:pPr>
        <w:pBdr/>
        <w:spacing/>
        <w:ind w:hanging="720" w:left="720"/>
      </w:pPr>
      <w:rPr>
        <w:rFonts w:hint="default" w:ascii="Times New Roman" w:hAnsi="Times New Roman"/>
        <w:b w:val="0"/>
      </w:rPr>
      <w:start w:val="1"/>
      <w:suff w:val="tab"/>
    </w:lvl>
    <w:lvl w:ilvl="4">
      <w:isLgl w:val="false"/>
      <w:lvlJc w:val="left"/>
      <w:lvlText w:val="%1.%2.%3.%4.%5"/>
      <w:numFmt w:val="decimal"/>
      <w:pPr>
        <w:pBdr/>
        <w:spacing/>
        <w:ind w:hanging="1080" w:left="1080"/>
      </w:pPr>
      <w:rPr>
        <w:rFonts w:hint="default" w:ascii="Times New Roman" w:hAnsi="Times New Roman"/>
        <w:b w:val="0"/>
      </w:rPr>
      <w:start w:val="1"/>
      <w:suff w:val="tab"/>
    </w:lvl>
    <w:lvl w:ilvl="5">
      <w:isLgl w:val="false"/>
      <w:lvlJc w:val="left"/>
      <w:lvlText w:val="%1.%2.%3.%4.%5.%6"/>
      <w:numFmt w:val="decimal"/>
      <w:pPr>
        <w:pBdr/>
        <w:spacing/>
        <w:ind w:hanging="1080" w:left="1080"/>
      </w:pPr>
      <w:rPr>
        <w:rFonts w:hint="default" w:ascii="Times New Roman" w:hAnsi="Times New Roman"/>
        <w:b w:val="0"/>
      </w:rPr>
      <w:start w:val="1"/>
      <w:suff w:val="tab"/>
    </w:lvl>
    <w:lvl w:ilvl="6">
      <w:isLgl w:val="false"/>
      <w:lvlJc w:val="left"/>
      <w:lvlText w:val="%1.%2.%3.%4.%5.%6.%7"/>
      <w:numFmt w:val="decimal"/>
      <w:pPr>
        <w:pBdr/>
        <w:spacing/>
        <w:ind w:hanging="1440" w:left="1440"/>
      </w:pPr>
      <w:rPr>
        <w:rFonts w:hint="default" w:ascii="Times New Roman" w:hAnsi="Times New Roman"/>
        <w:b w:val="0"/>
      </w:rPr>
      <w:start w:val="1"/>
      <w:suff w:val="tab"/>
    </w:lvl>
    <w:lvl w:ilvl="7">
      <w:isLgl w:val="false"/>
      <w:lvlJc w:val="left"/>
      <w:lvlText w:val="%1.%2.%3.%4.%5.%6.%7.%8"/>
      <w:numFmt w:val="decimal"/>
      <w:pPr>
        <w:pBdr/>
        <w:spacing/>
        <w:ind w:hanging="1440" w:left="1440"/>
      </w:pPr>
      <w:rPr>
        <w:rFonts w:hint="default" w:ascii="Times New Roman" w:hAnsi="Times New Roman"/>
        <w:b w:val="0"/>
      </w:rPr>
      <w:start w:val="1"/>
      <w:suff w:val="tab"/>
    </w:lvl>
    <w:lvl w:ilvl="8">
      <w:isLgl w:val="false"/>
      <w:lvlJc w:val="left"/>
      <w:lvlText w:val="%1.%2.%3.%4.%5.%6.%7.%8.%9"/>
      <w:numFmt w:val="decimal"/>
      <w:pPr>
        <w:pBdr/>
        <w:spacing/>
        <w:ind w:hanging="1800" w:left="1800"/>
      </w:pPr>
      <w:rPr>
        <w:rFonts w:hint="default" w:ascii="Times New Roman" w:hAnsi="Times New Roman"/>
        <w:b w:val="0"/>
      </w:rPr>
      <w:start w:val="1"/>
      <w:suff w:val="tab"/>
    </w:lvl>
  </w:abstractNum>
  <w:abstractNum w:abstractNumId="28">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2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0">
    <w:lvl w:ilvl="0">
      <w:isLgl w:val="false"/>
      <w:lvlJc w:val="left"/>
      <w:lvlText w:val="%1."/>
      <w:numFmt w:val="decimal"/>
      <w:pPr>
        <w:pBdr/>
        <w:tabs>
          <w:tab w:val="num" w:leader="none" w:pos="360"/>
        </w:tabs>
        <w:spacing/>
        <w:ind w:hanging="360" w:left="360"/>
      </w:pPr>
      <w:rPr>
        <w:rFonts w:hint="default"/>
        <w:b/>
      </w:rPr>
      <w:start w:val="2"/>
      <w:suff w:val="tab"/>
    </w:lvl>
    <w:lvl w:ilvl="1">
      <w:isLgl w:val="false"/>
      <w:lvlJc w:val="left"/>
      <w:lvlText w:val="%1.%2."/>
      <w:numFmt w:val="decimal"/>
      <w:pPr>
        <w:pBdr/>
        <w:tabs>
          <w:tab w:val="num" w:leader="none" w:pos="720"/>
        </w:tabs>
        <w:spacing/>
        <w:ind w:hanging="432" w:left="432"/>
      </w:pPr>
      <w:rPr>
        <w:rFonts w:hint="default"/>
        <w:b/>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num w:numId="1">
    <w:abstractNumId w:val="12"/>
  </w:num>
  <w:num w:numId="2">
    <w:abstractNumId w:val="26"/>
  </w:num>
  <w:num w:numId="3">
    <w:abstractNumId w:val="18"/>
  </w:num>
  <w:num w:numId="4">
    <w:abstractNumId w:val="15"/>
  </w:num>
  <w:num w:numId="5">
    <w:abstractNumId w:val="6"/>
  </w:num>
  <w:num w:numId="6">
    <w:abstractNumId w:val="21"/>
  </w:num>
  <w:num w:numId="7">
    <w:abstractNumId w:val="11"/>
  </w:num>
  <w:num w:numId="8">
    <w:abstractNumId w:val="9"/>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num>
  <w:num w:numId="13">
    <w:abstractNumId w:val="7"/>
  </w:num>
  <w:num w:numId="14">
    <w:abstractNumId w:val="24"/>
  </w:num>
  <w:num w:numId="15">
    <w:abstractNumId w:val="1"/>
  </w:num>
  <w:num w:numId="16">
    <w:abstractNumId w:val="30"/>
  </w:num>
  <w:num w:numId="17">
    <w:abstractNumId w:val="28"/>
  </w:num>
  <w:num w:numId="18">
    <w:abstractNumId w:val="16"/>
  </w:num>
  <w:num w:numId="19">
    <w:abstractNumId w:val="27"/>
  </w:num>
  <w:num w:numId="20">
    <w:abstractNumId w:val="23"/>
  </w:num>
  <w:num w:numId="21">
    <w:abstractNumId w:val="20"/>
  </w:num>
  <w:num w:numId="22">
    <w:abstractNumId w:val="4"/>
  </w:num>
  <w:num w:numId="23">
    <w:abstractNumId w:val="5"/>
  </w:num>
  <w:num w:numId="24">
    <w:abstractNumId w:val="19"/>
  </w:num>
  <w:num w:numId="25">
    <w:abstractNumId w:val="22"/>
  </w:num>
  <w:num w:numId="26">
    <w:abstractNumId w:val="25"/>
  </w:num>
  <w:num w:numId="27">
    <w:abstractNumId w:val="8"/>
  </w:num>
  <w:num w:numId="28">
    <w:abstractNumId w:val="10"/>
  </w:num>
  <w:num w:numId="29">
    <w:abstractNumId w:val="17"/>
  </w:num>
  <w:num w:numId="30">
    <w:abstractNumId w:val="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Jh4GXQHU4nJYZ+kMiXjz3POieO3uWTV2xcyjYCaHtOSksR8ZyHqF7veWx/azMkQeZB9b1hzSyYIkrM0NEqLMig==" w:salt="wMwOoLVFB5FhGWyGPk4YeA=="/>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Light"/>
    <w:basedOn w:val="87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87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87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87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87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87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87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87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87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87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87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87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87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87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87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87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87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87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87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 Accent 1"/>
    <w:basedOn w:val="87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87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87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87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87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87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 Accent 1"/>
    <w:basedOn w:val="87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87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87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87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87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87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87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87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87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87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87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87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87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87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87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87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87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87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87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87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87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 Accent 1"/>
    <w:basedOn w:val="87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87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87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87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87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87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 Accent 1"/>
    <w:basedOn w:val="87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87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87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87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87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87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 Accent 1"/>
    <w:basedOn w:val="87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87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87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87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87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87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63" w:default="1">
    <w:name w:val="Normal"/>
    <w:qFormat/>
    <w:pPr>
      <w:pBdr/>
      <w:spacing w:after="0" w:line="240" w:lineRule="auto"/>
      <w:ind/>
    </w:pPr>
    <w:rPr>
      <w:rFonts w:ascii="Times New Roman" w:hAnsi="Times New Roman" w:eastAsia="Times New Roman" w:cs="Times New Roman"/>
      <w:sz w:val="20"/>
      <w:szCs w:val="20"/>
      <w:lang w:val="en-AU"/>
    </w:rPr>
  </w:style>
  <w:style w:type="paragraph" w:styleId="864">
    <w:name w:val="Heading 1"/>
    <w:basedOn w:val="863"/>
    <w:next w:val="863"/>
    <w:link w:val="1058"/>
    <w:qFormat/>
    <w:pPr>
      <w:keepNext w:val="true"/>
      <w:numPr>
        <w:numId w:val="23"/>
      </w:numPr>
      <w:pBdr/>
      <w:spacing/>
      <w:ind/>
      <w:jc w:val="center"/>
      <w:outlineLvl w:val="0"/>
    </w:pPr>
    <w:rPr>
      <w:rFonts w:ascii="Tms Rmn" w:hAnsi="Tms Rmn"/>
      <w:b/>
      <w:bCs/>
      <w:sz w:val="24"/>
      <w:szCs w:val="24"/>
    </w:rPr>
  </w:style>
  <w:style w:type="paragraph" w:styleId="865">
    <w:name w:val="Heading 2"/>
    <w:basedOn w:val="863"/>
    <w:next w:val="863"/>
    <w:link w:val="1059"/>
    <w:qFormat/>
    <w:pPr>
      <w:keepNext w:val="true"/>
      <w:numPr>
        <w:ilvl w:val="1"/>
        <w:numId w:val="23"/>
      </w:numPr>
      <w:pBdr/>
      <w:spacing w:after="60" w:before="240"/>
      <w:ind/>
      <w:outlineLvl w:val="1"/>
    </w:pPr>
    <w:rPr>
      <w:rFonts w:ascii="Arial" w:hAnsi="Arial" w:cs="Arial"/>
      <w:b/>
      <w:bCs/>
      <w:i/>
      <w:iCs/>
      <w:sz w:val="28"/>
      <w:szCs w:val="28"/>
    </w:rPr>
  </w:style>
  <w:style w:type="paragraph" w:styleId="866">
    <w:name w:val="Heading 3"/>
    <w:basedOn w:val="863"/>
    <w:next w:val="863"/>
    <w:link w:val="1060"/>
    <w:qFormat/>
    <w:pPr>
      <w:keepNext w:val="true"/>
      <w:numPr>
        <w:ilvl w:val="2"/>
        <w:numId w:val="23"/>
      </w:numPr>
      <w:pBdr/>
      <w:spacing w:after="60" w:before="240"/>
      <w:ind/>
      <w:outlineLvl w:val="2"/>
    </w:pPr>
    <w:rPr>
      <w:rFonts w:ascii="Arial" w:hAnsi="Arial" w:cs="Arial"/>
      <w:b/>
      <w:bCs/>
      <w:sz w:val="26"/>
      <w:szCs w:val="26"/>
    </w:rPr>
  </w:style>
  <w:style w:type="paragraph" w:styleId="867">
    <w:name w:val="Heading 4"/>
    <w:basedOn w:val="863"/>
    <w:next w:val="863"/>
    <w:link w:val="1061"/>
    <w:qFormat/>
    <w:pPr>
      <w:keepNext w:val="true"/>
      <w:numPr>
        <w:ilvl w:val="3"/>
        <w:numId w:val="23"/>
      </w:numPr>
      <w:pBdr/>
      <w:spacing w:after="60" w:before="240"/>
      <w:ind/>
      <w:outlineLvl w:val="3"/>
    </w:pPr>
    <w:rPr>
      <w:b/>
      <w:bCs/>
      <w:sz w:val="28"/>
      <w:szCs w:val="28"/>
    </w:rPr>
  </w:style>
  <w:style w:type="paragraph" w:styleId="868">
    <w:name w:val="Heading 5"/>
    <w:basedOn w:val="863"/>
    <w:next w:val="863"/>
    <w:link w:val="1062"/>
    <w:qFormat/>
    <w:pPr>
      <w:numPr>
        <w:ilvl w:val="4"/>
        <w:numId w:val="23"/>
      </w:numPr>
      <w:pBdr/>
      <w:spacing w:after="60" w:before="240"/>
      <w:ind/>
      <w:outlineLvl w:val="4"/>
    </w:pPr>
    <w:rPr>
      <w:b/>
      <w:bCs/>
      <w:i/>
      <w:iCs/>
      <w:sz w:val="26"/>
      <w:szCs w:val="26"/>
    </w:rPr>
  </w:style>
  <w:style w:type="paragraph" w:styleId="869">
    <w:name w:val="Heading 6"/>
    <w:basedOn w:val="863"/>
    <w:next w:val="863"/>
    <w:link w:val="1063"/>
    <w:qFormat/>
    <w:pPr>
      <w:numPr>
        <w:ilvl w:val="5"/>
        <w:numId w:val="23"/>
      </w:numPr>
      <w:pBdr/>
      <w:spacing w:after="60" w:before="240"/>
      <w:ind/>
      <w:outlineLvl w:val="5"/>
    </w:pPr>
    <w:rPr>
      <w:b/>
      <w:bCs/>
      <w:sz w:val="22"/>
      <w:szCs w:val="22"/>
    </w:rPr>
  </w:style>
  <w:style w:type="paragraph" w:styleId="870">
    <w:name w:val="Heading 7"/>
    <w:basedOn w:val="863"/>
    <w:next w:val="863"/>
    <w:link w:val="1064"/>
    <w:qFormat/>
    <w:pPr>
      <w:numPr>
        <w:ilvl w:val="6"/>
        <w:numId w:val="23"/>
      </w:numPr>
      <w:pBdr/>
      <w:spacing w:after="60" w:before="240"/>
      <w:ind/>
      <w:outlineLvl w:val="6"/>
    </w:pPr>
    <w:rPr>
      <w:sz w:val="24"/>
      <w:szCs w:val="24"/>
    </w:rPr>
  </w:style>
  <w:style w:type="paragraph" w:styleId="871">
    <w:name w:val="Heading 8"/>
    <w:basedOn w:val="863"/>
    <w:next w:val="863"/>
    <w:link w:val="1065"/>
    <w:qFormat/>
    <w:pPr>
      <w:numPr>
        <w:ilvl w:val="7"/>
        <w:numId w:val="23"/>
      </w:numPr>
      <w:pBdr/>
      <w:spacing w:after="60" w:before="240"/>
      <w:ind/>
      <w:outlineLvl w:val="7"/>
    </w:pPr>
    <w:rPr>
      <w:i/>
      <w:iCs/>
      <w:sz w:val="24"/>
      <w:szCs w:val="24"/>
    </w:rPr>
  </w:style>
  <w:style w:type="paragraph" w:styleId="872">
    <w:name w:val="Heading 9"/>
    <w:basedOn w:val="863"/>
    <w:next w:val="863"/>
    <w:link w:val="1066"/>
    <w:qFormat/>
    <w:pPr>
      <w:numPr>
        <w:ilvl w:val="8"/>
        <w:numId w:val="23"/>
      </w:numPr>
      <w:pBdr/>
      <w:spacing w:after="60" w:before="240"/>
      <w:ind/>
      <w:outlineLvl w:val="8"/>
    </w:pPr>
    <w:rPr>
      <w:rFonts w:ascii="Arial" w:hAnsi="Arial" w:cs="Arial"/>
      <w:sz w:val="22"/>
      <w:szCs w:val="22"/>
    </w:rPr>
  </w:style>
  <w:style w:type="character" w:styleId="873" w:default="1">
    <w:name w:val="Default Paragraph Font"/>
    <w:uiPriority w:val="1"/>
    <w:semiHidden/>
    <w:unhideWhenUsed/>
    <w:pPr>
      <w:pBdr/>
      <w:spacing/>
      <w:ind/>
    </w:pPr>
  </w:style>
  <w:style w:type="table" w:styleId="87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75" w:default="1">
    <w:name w:val="No List"/>
    <w:uiPriority w:val="99"/>
    <w:semiHidden/>
    <w:unhideWhenUsed/>
    <w:pPr>
      <w:pBdr/>
      <w:spacing/>
      <w:ind/>
    </w:pPr>
  </w:style>
  <w:style w:type="table" w:styleId="876">
    <w:name w:val="Grid Table Light"/>
    <w:basedOn w:val="87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Accent 1"/>
    <w:basedOn w:val="87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Accent 2"/>
    <w:basedOn w:val="87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Accent 3"/>
    <w:basedOn w:val="87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Accent 4"/>
    <w:basedOn w:val="87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Accent 5"/>
    <w:basedOn w:val="87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Accent 6"/>
    <w:basedOn w:val="87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2 Accent 1"/>
    <w:basedOn w:val="87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Accent 2"/>
    <w:basedOn w:val="87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Accent 3"/>
    <w:basedOn w:val="87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Accent 4"/>
    <w:basedOn w:val="87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Accent 5"/>
    <w:basedOn w:val="87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Accent 6"/>
    <w:basedOn w:val="87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3 Accent 1"/>
    <w:basedOn w:val="87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3 Accent 2"/>
    <w:basedOn w:val="87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Accent 3"/>
    <w:basedOn w:val="87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Accent 4"/>
    <w:basedOn w:val="87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Accent 5"/>
    <w:basedOn w:val="87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Accent 6"/>
    <w:basedOn w:val="87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Accent 1"/>
    <w:basedOn w:val="874"/>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4 Accent 2"/>
    <w:basedOn w:val="874"/>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4 Accent 3"/>
    <w:basedOn w:val="874"/>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Accent 4"/>
    <w:basedOn w:val="874"/>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Accent 5"/>
    <w:basedOn w:val="874"/>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Accent 6"/>
    <w:basedOn w:val="874"/>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Accent 2"/>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5 Dark Accent 3"/>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5 Dark Accent 5"/>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5 Dark Accent 6"/>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6 Colorful Accent 1"/>
    <w:basedOn w:val="874"/>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6 Colorful Accent 2"/>
    <w:basedOn w:val="87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6 Colorful Accent 3"/>
    <w:basedOn w:val="874"/>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6 Colorful Accent 4"/>
    <w:basedOn w:val="87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6 Colorful Accent 5"/>
    <w:basedOn w:val="874"/>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6 Colorful Accent 6"/>
    <w:basedOn w:val="874"/>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Accent 1"/>
    <w:basedOn w:val="874"/>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Accent 2"/>
    <w:basedOn w:val="874"/>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Accent 3"/>
    <w:basedOn w:val="874"/>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Accent 4"/>
    <w:basedOn w:val="874"/>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Accent 5"/>
    <w:basedOn w:val="874"/>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7 Colorful Accent 6"/>
    <w:basedOn w:val="874"/>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Accent 1"/>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Accent 2"/>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Accent 3"/>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Accent 4"/>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Accent 5"/>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Accent 6"/>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Accent 1"/>
    <w:basedOn w:val="874"/>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Accent 2"/>
    <w:basedOn w:val="874"/>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Accent 3"/>
    <w:basedOn w:val="874"/>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Accent 4"/>
    <w:basedOn w:val="874"/>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Accent 5"/>
    <w:basedOn w:val="874"/>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Accent 6"/>
    <w:basedOn w:val="874"/>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3 Accent 1"/>
    <w:basedOn w:val="874"/>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Accent 2"/>
    <w:basedOn w:val="87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Accent 3"/>
    <w:basedOn w:val="874"/>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Accent 4"/>
    <w:basedOn w:val="87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Accent 5"/>
    <w:basedOn w:val="874"/>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Accent 6"/>
    <w:basedOn w:val="874"/>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4 Accent 1"/>
    <w:basedOn w:val="874"/>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4 Accent 2"/>
    <w:basedOn w:val="874"/>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Accent 3"/>
    <w:basedOn w:val="874"/>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Accent 4"/>
    <w:basedOn w:val="874"/>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Accent 5"/>
    <w:basedOn w:val="874"/>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Accent 6"/>
    <w:basedOn w:val="874"/>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5 Dark Accent 1"/>
    <w:basedOn w:val="874"/>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5 Dark Accent 2"/>
    <w:basedOn w:val="874"/>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5 Dark Accent 3"/>
    <w:basedOn w:val="874"/>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5 Dark Accent 4"/>
    <w:basedOn w:val="874"/>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5 Dark Accent 5"/>
    <w:basedOn w:val="874"/>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5 Dark Accent 6"/>
    <w:basedOn w:val="874"/>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Accent 1"/>
    <w:basedOn w:val="874"/>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Accent 2"/>
    <w:basedOn w:val="874"/>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6 Colorful Accent 3"/>
    <w:basedOn w:val="874"/>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6 Colorful Accent 4"/>
    <w:basedOn w:val="874"/>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6 Colorful Accent 5"/>
    <w:basedOn w:val="874"/>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Accent 6"/>
    <w:basedOn w:val="874"/>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7 Colorful Accent 1"/>
    <w:basedOn w:val="874"/>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7 Colorful Accent 2"/>
    <w:basedOn w:val="874"/>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7 Colorful Accent 3"/>
    <w:basedOn w:val="874"/>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7 Colorful Accent 4"/>
    <w:basedOn w:val="874"/>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7 Colorful Accent 5"/>
    <w:basedOn w:val="874"/>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7 Colorful Accent 6"/>
    <w:basedOn w:val="874"/>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Plain Table 1"/>
    <w:basedOn w:val="87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Plain Table 2"/>
    <w:basedOn w:val="874"/>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Plain Table 3"/>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Plain Table 4"/>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Plain Table 5"/>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1 Light"/>
    <w:basedOn w:val="874"/>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2"/>
    <w:basedOn w:val="87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3"/>
    <w:basedOn w:val="87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4"/>
    <w:basedOn w:val="874"/>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5 Dark"/>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Grid Table 5 Dark- Accent 1"/>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Grid Table 5 Dark- Accent 4"/>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Grid Table 6 Colorful"/>
    <w:basedOn w:val="874"/>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Grid Table 7 Colorful"/>
    <w:basedOn w:val="874"/>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1 Light"/>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2"/>
    <w:basedOn w:val="874"/>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3"/>
    <w:basedOn w:val="87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4"/>
    <w:basedOn w:val="87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5 Dark"/>
    <w:basedOn w:val="874"/>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st Table 6 Colorful"/>
    <w:basedOn w:val="874"/>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st Table 7 Colorful"/>
    <w:basedOn w:val="874"/>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ned - Accent 1"/>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ned - Accent 2"/>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ned - Accent 3"/>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Lined - Accent 4"/>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ned - Accent 5"/>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Lined - Accent 6"/>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w:basedOn w:val="874"/>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amp; Lined - Accent 1"/>
    <w:basedOn w:val="874"/>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amp; Lined - Accent 2"/>
    <w:basedOn w:val="874"/>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amp; Lined - Accent 3"/>
    <w:basedOn w:val="874"/>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amp; Lined - Accent 4"/>
    <w:basedOn w:val="874"/>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amp; Lined - Accent 5"/>
    <w:basedOn w:val="874"/>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amp; Lined - Accent 6"/>
    <w:basedOn w:val="874"/>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w:basedOn w:val="874"/>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Bordered - Accent 1"/>
    <w:basedOn w:val="87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Bordered - Accent 2"/>
    <w:basedOn w:val="87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Bordered - Accent 3"/>
    <w:basedOn w:val="87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Bordered - Accent 4"/>
    <w:basedOn w:val="87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Bordered - Accent 5"/>
    <w:basedOn w:val="87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Bordered - Accent 6"/>
    <w:basedOn w:val="87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01">
    <w:name w:val="Title"/>
    <w:basedOn w:val="863"/>
    <w:next w:val="863"/>
    <w:link w:val="1002"/>
    <w:uiPriority w:val="10"/>
    <w:qFormat/>
    <w:pPr>
      <w:pBdr/>
      <w:spacing w:after="80"/>
      <w:ind/>
      <w:contextualSpacing w:val="true"/>
    </w:pPr>
    <w:rPr>
      <w:rFonts w:ascii="Arial" w:hAnsi="Arial" w:eastAsia="Arial" w:cs="Arial"/>
      <w:spacing w:val="-10"/>
      <w:sz w:val="56"/>
      <w:szCs w:val="56"/>
    </w:rPr>
  </w:style>
  <w:style w:type="character" w:styleId="1002" w:customStyle="1">
    <w:name w:val="Title Char"/>
    <w:basedOn w:val="873"/>
    <w:link w:val="1001"/>
    <w:uiPriority w:val="10"/>
    <w:pPr>
      <w:pBdr/>
      <w:spacing/>
      <w:ind/>
    </w:pPr>
    <w:rPr>
      <w:rFonts w:ascii="Arial" w:hAnsi="Arial" w:eastAsia="Arial" w:cs="Arial"/>
      <w:spacing w:val="-10"/>
      <w:sz w:val="56"/>
      <w:szCs w:val="56"/>
    </w:rPr>
  </w:style>
  <w:style w:type="paragraph" w:styleId="1003">
    <w:name w:val="Subtitle"/>
    <w:basedOn w:val="863"/>
    <w:next w:val="863"/>
    <w:link w:val="1004"/>
    <w:uiPriority w:val="11"/>
    <w:qFormat/>
    <w:pPr>
      <w:numPr>
        <w:ilvl w:val="1"/>
      </w:numPr>
      <w:pBdr/>
      <w:spacing/>
      <w:ind/>
    </w:pPr>
    <w:rPr>
      <w:color w:val="595959" w:themeColor="text1" w:themeTint="A6"/>
      <w:spacing w:val="15"/>
      <w:sz w:val="28"/>
      <w:szCs w:val="28"/>
    </w:rPr>
  </w:style>
  <w:style w:type="character" w:styleId="1004" w:customStyle="1">
    <w:name w:val="Subtitle Char"/>
    <w:basedOn w:val="873"/>
    <w:link w:val="1003"/>
    <w:uiPriority w:val="11"/>
    <w:pPr>
      <w:pBdr/>
      <w:spacing/>
      <w:ind/>
    </w:pPr>
    <w:rPr>
      <w:color w:val="595959" w:themeColor="text1" w:themeTint="A6"/>
      <w:spacing w:val="15"/>
      <w:sz w:val="28"/>
      <w:szCs w:val="28"/>
    </w:rPr>
  </w:style>
  <w:style w:type="paragraph" w:styleId="1005">
    <w:name w:val="Quote"/>
    <w:basedOn w:val="863"/>
    <w:next w:val="863"/>
    <w:link w:val="1006"/>
    <w:uiPriority w:val="29"/>
    <w:qFormat/>
    <w:pPr>
      <w:pBdr/>
      <w:spacing w:before="160"/>
      <w:ind/>
      <w:jc w:val="center"/>
    </w:pPr>
    <w:rPr>
      <w:i/>
      <w:iCs/>
      <w:color w:val="404040" w:themeColor="text1" w:themeTint="BF"/>
    </w:rPr>
  </w:style>
  <w:style w:type="character" w:styleId="1006" w:customStyle="1">
    <w:name w:val="Quote Char"/>
    <w:basedOn w:val="873"/>
    <w:link w:val="1005"/>
    <w:uiPriority w:val="29"/>
    <w:pPr>
      <w:pBdr/>
      <w:spacing/>
      <w:ind/>
    </w:pPr>
    <w:rPr>
      <w:i/>
      <w:iCs/>
      <w:color w:val="404040" w:themeColor="text1" w:themeTint="BF"/>
    </w:rPr>
  </w:style>
  <w:style w:type="character" w:styleId="1007">
    <w:name w:val="Intense Emphasis"/>
    <w:basedOn w:val="873"/>
    <w:uiPriority w:val="21"/>
    <w:qFormat/>
    <w:pPr>
      <w:pBdr/>
      <w:spacing/>
      <w:ind/>
    </w:pPr>
    <w:rPr>
      <w:i/>
      <w:iCs/>
      <w:color w:val="2e74b5" w:themeColor="accent1" w:themeShade="BF"/>
    </w:rPr>
  </w:style>
  <w:style w:type="paragraph" w:styleId="1008">
    <w:name w:val="Intense Quote"/>
    <w:basedOn w:val="863"/>
    <w:next w:val="863"/>
    <w:link w:val="1009"/>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09" w:customStyle="1">
    <w:name w:val="Intense Quote Char"/>
    <w:basedOn w:val="873"/>
    <w:link w:val="1008"/>
    <w:uiPriority w:val="30"/>
    <w:pPr>
      <w:pBdr/>
      <w:spacing/>
      <w:ind/>
    </w:pPr>
    <w:rPr>
      <w:i/>
      <w:iCs/>
      <w:color w:val="2e74b5" w:themeColor="accent1" w:themeShade="BF"/>
    </w:rPr>
  </w:style>
  <w:style w:type="character" w:styleId="1010">
    <w:name w:val="Intense Reference"/>
    <w:basedOn w:val="873"/>
    <w:uiPriority w:val="32"/>
    <w:qFormat/>
    <w:pPr>
      <w:pBdr/>
      <w:spacing/>
      <w:ind/>
    </w:pPr>
    <w:rPr>
      <w:b/>
      <w:bCs/>
      <w:smallCaps/>
      <w:color w:val="2e74b5" w:themeColor="accent1" w:themeShade="BF"/>
      <w:spacing w:val="5"/>
    </w:rPr>
  </w:style>
  <w:style w:type="paragraph" w:styleId="1011">
    <w:name w:val="No Spacing"/>
    <w:basedOn w:val="863"/>
    <w:uiPriority w:val="1"/>
    <w:qFormat/>
    <w:pPr>
      <w:pBdr/>
      <w:spacing/>
      <w:ind/>
    </w:pPr>
  </w:style>
  <w:style w:type="character" w:styleId="1012">
    <w:name w:val="Subtle Emphasis"/>
    <w:basedOn w:val="873"/>
    <w:uiPriority w:val="19"/>
    <w:qFormat/>
    <w:pPr>
      <w:pBdr/>
      <w:spacing/>
      <w:ind/>
    </w:pPr>
    <w:rPr>
      <w:i/>
      <w:iCs/>
      <w:color w:val="404040" w:themeColor="text1" w:themeTint="BF"/>
    </w:rPr>
  </w:style>
  <w:style w:type="character" w:styleId="1013">
    <w:name w:val="Emphasis"/>
    <w:basedOn w:val="873"/>
    <w:uiPriority w:val="20"/>
    <w:qFormat/>
    <w:pPr>
      <w:pBdr/>
      <w:spacing/>
      <w:ind/>
    </w:pPr>
    <w:rPr>
      <w:i/>
      <w:iCs/>
    </w:rPr>
  </w:style>
  <w:style w:type="character" w:styleId="1014">
    <w:name w:val="Strong"/>
    <w:basedOn w:val="873"/>
    <w:uiPriority w:val="22"/>
    <w:qFormat/>
    <w:pPr>
      <w:pBdr/>
      <w:spacing/>
      <w:ind/>
    </w:pPr>
    <w:rPr>
      <w:b/>
      <w:bCs/>
    </w:rPr>
  </w:style>
  <w:style w:type="character" w:styleId="1015">
    <w:name w:val="Subtle Reference"/>
    <w:basedOn w:val="873"/>
    <w:uiPriority w:val="31"/>
    <w:qFormat/>
    <w:pPr>
      <w:pBdr/>
      <w:spacing/>
      <w:ind/>
    </w:pPr>
    <w:rPr>
      <w:smallCaps/>
      <w:color w:val="5a5a5a" w:themeColor="text1" w:themeTint="A5"/>
    </w:rPr>
  </w:style>
  <w:style w:type="character" w:styleId="1016">
    <w:name w:val="Book Title"/>
    <w:basedOn w:val="873"/>
    <w:uiPriority w:val="33"/>
    <w:qFormat/>
    <w:pPr>
      <w:pBdr/>
      <w:spacing/>
      <w:ind/>
    </w:pPr>
    <w:rPr>
      <w:b/>
      <w:bCs/>
      <w:i/>
      <w:iCs/>
      <w:spacing w:val="5"/>
    </w:rPr>
  </w:style>
  <w:style w:type="paragraph" w:styleId="1017">
    <w:name w:val="Caption"/>
    <w:basedOn w:val="863"/>
    <w:next w:val="863"/>
    <w:uiPriority w:val="35"/>
    <w:unhideWhenUsed/>
    <w:qFormat/>
    <w:pPr>
      <w:pBdr/>
      <w:spacing w:after="200"/>
      <w:ind/>
    </w:pPr>
    <w:rPr>
      <w:i/>
      <w:iCs/>
      <w:color w:val="44546a" w:themeColor="text2"/>
      <w:sz w:val="18"/>
      <w:szCs w:val="18"/>
    </w:rPr>
  </w:style>
  <w:style w:type="paragraph" w:styleId="1018">
    <w:name w:val="footnote text"/>
    <w:basedOn w:val="863"/>
    <w:link w:val="1019"/>
    <w:uiPriority w:val="99"/>
    <w:semiHidden/>
    <w:unhideWhenUsed/>
    <w:pPr>
      <w:pBdr/>
      <w:spacing/>
      <w:ind/>
    </w:pPr>
  </w:style>
  <w:style w:type="character" w:styleId="1019" w:customStyle="1">
    <w:name w:val="Footnote Text Char"/>
    <w:basedOn w:val="873"/>
    <w:link w:val="1018"/>
    <w:uiPriority w:val="99"/>
    <w:semiHidden/>
    <w:pPr>
      <w:pBdr/>
      <w:spacing/>
      <w:ind/>
    </w:pPr>
    <w:rPr>
      <w:sz w:val="20"/>
      <w:szCs w:val="20"/>
    </w:rPr>
  </w:style>
  <w:style w:type="character" w:styleId="1020">
    <w:name w:val="footnote reference"/>
    <w:basedOn w:val="873"/>
    <w:uiPriority w:val="99"/>
    <w:semiHidden/>
    <w:unhideWhenUsed/>
    <w:pPr>
      <w:pBdr/>
      <w:spacing/>
      <w:ind/>
    </w:pPr>
    <w:rPr>
      <w:vertAlign w:val="superscript"/>
    </w:rPr>
  </w:style>
  <w:style w:type="paragraph" w:styleId="1021">
    <w:name w:val="endnote text"/>
    <w:basedOn w:val="863"/>
    <w:link w:val="1022"/>
    <w:uiPriority w:val="99"/>
    <w:semiHidden/>
    <w:unhideWhenUsed/>
    <w:pPr>
      <w:pBdr/>
      <w:spacing/>
      <w:ind/>
    </w:pPr>
  </w:style>
  <w:style w:type="character" w:styleId="1022" w:customStyle="1">
    <w:name w:val="Endnote Text Char"/>
    <w:basedOn w:val="873"/>
    <w:link w:val="1021"/>
    <w:uiPriority w:val="99"/>
    <w:semiHidden/>
    <w:pPr>
      <w:pBdr/>
      <w:spacing/>
      <w:ind/>
    </w:pPr>
    <w:rPr>
      <w:sz w:val="20"/>
      <w:szCs w:val="20"/>
    </w:rPr>
  </w:style>
  <w:style w:type="character" w:styleId="1023">
    <w:name w:val="endnote reference"/>
    <w:basedOn w:val="873"/>
    <w:uiPriority w:val="99"/>
    <w:semiHidden/>
    <w:unhideWhenUsed/>
    <w:pPr>
      <w:pBdr/>
      <w:spacing/>
      <w:ind/>
    </w:pPr>
    <w:rPr>
      <w:vertAlign w:val="superscript"/>
    </w:rPr>
  </w:style>
  <w:style w:type="paragraph" w:styleId="1024">
    <w:name w:val="toc 1"/>
    <w:basedOn w:val="863"/>
    <w:next w:val="863"/>
    <w:uiPriority w:val="39"/>
    <w:unhideWhenUsed/>
    <w:pPr>
      <w:pBdr/>
      <w:spacing w:after="100"/>
      <w:ind/>
    </w:pPr>
  </w:style>
  <w:style w:type="paragraph" w:styleId="1025">
    <w:name w:val="toc 2"/>
    <w:basedOn w:val="863"/>
    <w:next w:val="863"/>
    <w:uiPriority w:val="39"/>
    <w:unhideWhenUsed/>
    <w:pPr>
      <w:pBdr/>
      <w:spacing w:after="100"/>
      <w:ind w:left="220"/>
    </w:pPr>
  </w:style>
  <w:style w:type="paragraph" w:styleId="1026">
    <w:name w:val="toc 3"/>
    <w:basedOn w:val="863"/>
    <w:next w:val="863"/>
    <w:uiPriority w:val="39"/>
    <w:unhideWhenUsed/>
    <w:pPr>
      <w:pBdr/>
      <w:spacing w:after="100"/>
      <w:ind w:left="440"/>
    </w:pPr>
  </w:style>
  <w:style w:type="paragraph" w:styleId="1027">
    <w:name w:val="toc 4"/>
    <w:basedOn w:val="863"/>
    <w:next w:val="863"/>
    <w:uiPriority w:val="39"/>
    <w:unhideWhenUsed/>
    <w:pPr>
      <w:pBdr/>
      <w:spacing w:after="100"/>
      <w:ind w:left="660"/>
    </w:pPr>
  </w:style>
  <w:style w:type="paragraph" w:styleId="1028">
    <w:name w:val="toc 5"/>
    <w:basedOn w:val="863"/>
    <w:next w:val="863"/>
    <w:uiPriority w:val="39"/>
    <w:unhideWhenUsed/>
    <w:pPr>
      <w:pBdr/>
      <w:spacing w:after="100"/>
      <w:ind w:left="880"/>
    </w:pPr>
  </w:style>
  <w:style w:type="paragraph" w:styleId="1029">
    <w:name w:val="toc 6"/>
    <w:basedOn w:val="863"/>
    <w:next w:val="863"/>
    <w:uiPriority w:val="39"/>
    <w:unhideWhenUsed/>
    <w:pPr>
      <w:pBdr/>
      <w:spacing w:after="100"/>
      <w:ind w:left="1100"/>
    </w:pPr>
  </w:style>
  <w:style w:type="paragraph" w:styleId="1030">
    <w:name w:val="toc 7"/>
    <w:basedOn w:val="863"/>
    <w:next w:val="863"/>
    <w:uiPriority w:val="39"/>
    <w:unhideWhenUsed/>
    <w:pPr>
      <w:pBdr/>
      <w:spacing w:after="100"/>
      <w:ind w:left="1320"/>
    </w:pPr>
  </w:style>
  <w:style w:type="paragraph" w:styleId="1031">
    <w:name w:val="toc 8"/>
    <w:basedOn w:val="863"/>
    <w:next w:val="863"/>
    <w:uiPriority w:val="39"/>
    <w:unhideWhenUsed/>
    <w:pPr>
      <w:pBdr/>
      <w:spacing w:after="100"/>
      <w:ind w:left="1540"/>
    </w:pPr>
  </w:style>
  <w:style w:type="paragraph" w:styleId="1032">
    <w:name w:val="toc 9"/>
    <w:basedOn w:val="863"/>
    <w:next w:val="863"/>
    <w:uiPriority w:val="39"/>
    <w:unhideWhenUsed/>
    <w:pPr>
      <w:pBdr/>
      <w:spacing w:after="100"/>
      <w:ind w:left="1760"/>
    </w:pPr>
  </w:style>
  <w:style w:type="character" w:styleId="1033">
    <w:name w:val="Placeholder Text"/>
    <w:basedOn w:val="873"/>
    <w:uiPriority w:val="99"/>
    <w:semiHidden/>
    <w:pPr>
      <w:pBdr/>
      <w:spacing/>
      <w:ind/>
    </w:pPr>
    <w:rPr>
      <w:color w:val="666666"/>
    </w:rPr>
  </w:style>
  <w:style w:type="paragraph" w:styleId="1034">
    <w:name w:val="TOC Heading"/>
    <w:uiPriority w:val="39"/>
    <w:unhideWhenUsed/>
    <w:pPr>
      <w:pBdr/>
      <w:spacing/>
      <w:ind/>
    </w:pPr>
  </w:style>
  <w:style w:type="paragraph" w:styleId="1035">
    <w:name w:val="table of figures"/>
    <w:basedOn w:val="863"/>
    <w:next w:val="863"/>
    <w:uiPriority w:val="99"/>
    <w:unhideWhenUsed/>
    <w:pPr>
      <w:pBdr/>
      <w:spacing/>
      <w:ind/>
    </w:pPr>
  </w:style>
  <w:style w:type="paragraph" w:styleId="1036">
    <w:name w:val="Block Text"/>
    <w:basedOn w:val="863"/>
    <w:pPr>
      <w:pBdr/>
      <w:spacing/>
      <w:ind w:right="1440" w:left="1440"/>
    </w:pPr>
    <w:rPr>
      <w:sz w:val="26"/>
      <w:lang w:val="en-US"/>
    </w:rPr>
  </w:style>
  <w:style w:type="paragraph" w:styleId="1037" w:customStyle="1">
    <w:name w:val="Text_Croatia"/>
    <w:basedOn w:val="863"/>
    <w:qFormat/>
    <w:pPr>
      <w:widowControl w:val="false"/>
      <w:pBdr/>
      <w:spacing w:before="240"/>
      <w:ind/>
      <w:jc w:val="both"/>
    </w:pPr>
    <w:rPr>
      <w:rFonts w:ascii="Arial" w:hAnsi="Arial"/>
      <w:lang w:val="hr-HR"/>
    </w:rPr>
  </w:style>
  <w:style w:type="paragraph" w:styleId="1038">
    <w:name w:val="List Paragraph"/>
    <w:basedOn w:val="863"/>
    <w:uiPriority w:val="34"/>
    <w:qFormat/>
    <w:pPr>
      <w:pBdr/>
      <w:spacing/>
      <w:ind w:left="720"/>
    </w:pPr>
  </w:style>
  <w:style w:type="paragraph" w:styleId="1039" w:customStyle="1">
    <w:name w:val="Level 1"/>
    <w:basedOn w:val="863"/>
    <w:link w:val="1040"/>
    <w:pPr>
      <w:numPr>
        <w:numId w:val="3"/>
      </w:numPr>
      <w:pBdr/>
      <w:spacing w:before="120" w:line="280" w:lineRule="atLeast"/>
      <w:ind/>
    </w:pPr>
    <w:rPr>
      <w:rFonts w:ascii="Arial" w:hAnsi="Arial"/>
      <w:sz w:val="22"/>
      <w:lang w:val="en-GB"/>
    </w:rPr>
  </w:style>
  <w:style w:type="character" w:styleId="1040" w:customStyle="1">
    <w:name w:val="Level 1 Char"/>
    <w:link w:val="1039"/>
    <w:pPr>
      <w:pBdr/>
      <w:spacing/>
      <w:ind/>
    </w:pPr>
    <w:rPr>
      <w:rFonts w:ascii="Arial" w:hAnsi="Arial" w:eastAsia="Times New Roman" w:cs="Times New Roman"/>
      <w:szCs w:val="20"/>
      <w:lang w:val="en-GB"/>
    </w:rPr>
  </w:style>
  <w:style w:type="paragraph" w:styleId="1041">
    <w:name w:val="Header"/>
    <w:basedOn w:val="863"/>
    <w:link w:val="1042"/>
    <w:uiPriority w:val="99"/>
    <w:unhideWhenUsed/>
    <w:pPr>
      <w:pBdr/>
      <w:tabs>
        <w:tab w:val="center" w:leader="none" w:pos="4703"/>
        <w:tab w:val="right" w:leader="none" w:pos="9406"/>
      </w:tabs>
      <w:spacing/>
      <w:ind/>
    </w:pPr>
  </w:style>
  <w:style w:type="character" w:styleId="1042" w:customStyle="1">
    <w:name w:val="Header Char"/>
    <w:basedOn w:val="873"/>
    <w:link w:val="1041"/>
    <w:uiPriority w:val="99"/>
    <w:qFormat/>
    <w:pPr>
      <w:pBdr/>
      <w:spacing/>
      <w:ind/>
    </w:pPr>
    <w:rPr>
      <w:rFonts w:ascii="Times New Roman" w:hAnsi="Times New Roman" w:eastAsia="Times New Roman" w:cs="Times New Roman"/>
      <w:sz w:val="20"/>
      <w:szCs w:val="20"/>
      <w:lang w:val="en-AU"/>
    </w:rPr>
  </w:style>
  <w:style w:type="paragraph" w:styleId="1043">
    <w:name w:val="Footer"/>
    <w:basedOn w:val="863"/>
    <w:link w:val="1044"/>
    <w:uiPriority w:val="99"/>
    <w:unhideWhenUsed/>
    <w:pPr>
      <w:pBdr/>
      <w:tabs>
        <w:tab w:val="center" w:leader="none" w:pos="4703"/>
        <w:tab w:val="right" w:leader="none" w:pos="9406"/>
      </w:tabs>
      <w:spacing/>
      <w:ind/>
    </w:pPr>
  </w:style>
  <w:style w:type="character" w:styleId="1044" w:customStyle="1">
    <w:name w:val="Footer Char"/>
    <w:basedOn w:val="873"/>
    <w:link w:val="1043"/>
    <w:uiPriority w:val="99"/>
    <w:pPr>
      <w:pBdr/>
      <w:spacing/>
      <w:ind/>
    </w:pPr>
    <w:rPr>
      <w:rFonts w:ascii="Times New Roman" w:hAnsi="Times New Roman" w:eastAsia="Times New Roman" w:cs="Times New Roman"/>
      <w:sz w:val="20"/>
      <w:szCs w:val="20"/>
      <w:lang w:val="en-AU"/>
    </w:rPr>
  </w:style>
  <w:style w:type="table" w:styleId="1045">
    <w:name w:val="Table Grid"/>
    <w:basedOn w:val="874"/>
    <w:uiPriority w:val="59"/>
    <w:pPr>
      <w:pBdr/>
      <w:spacing w:after="0" w:line="240" w:lineRule="auto"/>
      <w:ind/>
    </w:pPr>
    <w:rPr>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46">
    <w:name w:val="annotation reference"/>
    <w:basedOn w:val="873"/>
    <w:uiPriority w:val="99"/>
    <w:semiHidden/>
    <w:unhideWhenUsed/>
    <w:pPr>
      <w:pBdr/>
      <w:spacing/>
      <w:ind/>
    </w:pPr>
    <w:rPr>
      <w:sz w:val="16"/>
      <w:szCs w:val="16"/>
    </w:rPr>
  </w:style>
  <w:style w:type="paragraph" w:styleId="1047">
    <w:name w:val="annotation text"/>
    <w:basedOn w:val="863"/>
    <w:link w:val="1048"/>
    <w:uiPriority w:val="99"/>
    <w:unhideWhenUsed/>
    <w:pPr>
      <w:pBdr/>
      <w:spacing/>
      <w:ind/>
    </w:pPr>
  </w:style>
  <w:style w:type="character" w:styleId="1048" w:customStyle="1">
    <w:name w:val="Comment Text Char"/>
    <w:basedOn w:val="873"/>
    <w:link w:val="1047"/>
    <w:uiPriority w:val="99"/>
    <w:pPr>
      <w:pBdr/>
      <w:spacing/>
      <w:ind/>
    </w:pPr>
    <w:rPr>
      <w:rFonts w:ascii="Times New Roman" w:hAnsi="Times New Roman" w:eastAsia="Times New Roman" w:cs="Times New Roman"/>
      <w:sz w:val="20"/>
      <w:szCs w:val="20"/>
      <w:lang w:val="en-AU"/>
    </w:rPr>
  </w:style>
  <w:style w:type="paragraph" w:styleId="1049">
    <w:name w:val="annotation subject"/>
    <w:basedOn w:val="1047"/>
    <w:next w:val="1047"/>
    <w:link w:val="1050"/>
    <w:uiPriority w:val="99"/>
    <w:semiHidden/>
    <w:unhideWhenUsed/>
    <w:pPr>
      <w:pBdr/>
      <w:spacing/>
      <w:ind/>
    </w:pPr>
    <w:rPr>
      <w:b/>
      <w:bCs/>
    </w:rPr>
  </w:style>
  <w:style w:type="character" w:styleId="1050" w:customStyle="1">
    <w:name w:val="Comment Subject Char"/>
    <w:basedOn w:val="1048"/>
    <w:link w:val="1049"/>
    <w:uiPriority w:val="99"/>
    <w:semiHidden/>
    <w:pPr>
      <w:pBdr/>
      <w:spacing/>
      <w:ind/>
    </w:pPr>
    <w:rPr>
      <w:rFonts w:ascii="Times New Roman" w:hAnsi="Times New Roman" w:eastAsia="Times New Roman" w:cs="Times New Roman"/>
      <w:b/>
      <w:bCs/>
      <w:sz w:val="20"/>
      <w:szCs w:val="20"/>
      <w:lang w:val="en-AU"/>
    </w:rPr>
  </w:style>
  <w:style w:type="paragraph" w:styleId="1051">
    <w:name w:val="Balloon Text"/>
    <w:basedOn w:val="863"/>
    <w:link w:val="1052"/>
    <w:uiPriority w:val="99"/>
    <w:semiHidden/>
    <w:unhideWhenUsed/>
    <w:pPr>
      <w:pBdr/>
      <w:spacing/>
      <w:ind/>
    </w:pPr>
    <w:rPr>
      <w:rFonts w:ascii="Segoe UI" w:hAnsi="Segoe UI" w:cs="Segoe UI"/>
      <w:sz w:val="18"/>
      <w:szCs w:val="18"/>
    </w:rPr>
  </w:style>
  <w:style w:type="character" w:styleId="1052" w:customStyle="1">
    <w:name w:val="Balloon Text Char"/>
    <w:basedOn w:val="873"/>
    <w:link w:val="1051"/>
    <w:uiPriority w:val="99"/>
    <w:semiHidden/>
    <w:pPr>
      <w:pBdr/>
      <w:spacing/>
      <w:ind/>
    </w:pPr>
    <w:rPr>
      <w:rFonts w:ascii="Segoe UI" w:hAnsi="Segoe UI" w:eastAsia="Times New Roman" w:cs="Segoe UI"/>
      <w:sz w:val="18"/>
      <w:szCs w:val="18"/>
      <w:lang w:val="en-AU"/>
    </w:rPr>
  </w:style>
  <w:style w:type="paragraph" w:styleId="1053" w:customStyle="1">
    <w:name w:val="clan"/>
    <w:basedOn w:val="863"/>
    <w:pPr>
      <w:pBdr/>
      <w:spacing w:after="120" w:before="240"/>
      <w:ind/>
      <w:jc w:val="center"/>
    </w:pPr>
    <w:rPr>
      <w:rFonts w:ascii="Arial" w:hAnsi="Arial" w:cs="Arial"/>
      <w:b/>
      <w:bCs/>
      <w:sz w:val="24"/>
      <w:szCs w:val="24"/>
      <w:lang w:val="sr-Latn-RS" w:eastAsia="sr-Latn-RS"/>
    </w:rPr>
  </w:style>
  <w:style w:type="paragraph" w:styleId="1054" w:customStyle="1">
    <w:name w:val="Normal1"/>
    <w:basedOn w:val="863"/>
    <w:pPr>
      <w:pBdr/>
      <w:spacing w:after="150"/>
      <w:ind/>
    </w:pPr>
    <w:rPr>
      <w:rFonts w:ascii="Arial" w:hAnsi="Arial" w:cs="Arial"/>
      <w:sz w:val="22"/>
      <w:szCs w:val="22"/>
      <w:lang w:val="sr-Latn-RS" w:eastAsia="sr-Latn-RS"/>
    </w:rPr>
  </w:style>
  <w:style w:type="character" w:styleId="1055" w:customStyle="1">
    <w:name w:val="Основной текст_"/>
    <w:basedOn w:val="873"/>
    <w:link w:val="1056"/>
    <w:pPr>
      <w:pBdr/>
      <w:spacing/>
      <w:ind/>
    </w:pPr>
    <w:rPr>
      <w:rFonts w:ascii="Arial" w:hAnsi="Arial" w:eastAsia="Arial" w:cs="Arial"/>
      <w:sz w:val="20"/>
      <w:szCs w:val="20"/>
      <w:shd w:val="clear" w:color="auto" w:fill="ffffff"/>
    </w:rPr>
  </w:style>
  <w:style w:type="paragraph" w:styleId="1056" w:customStyle="1">
    <w:name w:val="Основной текст1"/>
    <w:basedOn w:val="863"/>
    <w:link w:val="1055"/>
    <w:pPr>
      <w:widowControl w:val="false"/>
      <w:pBdr/>
      <w:shd w:val="clear" w:color="auto" w:fill="ffffff"/>
      <w:spacing w:line="264" w:lineRule="auto"/>
      <w:ind w:firstLine="400"/>
    </w:pPr>
    <w:rPr>
      <w:rFonts w:ascii="Arial" w:hAnsi="Arial" w:eastAsia="Arial" w:cs="Arial"/>
      <w:lang w:val="sr-Latn-RS"/>
    </w:rPr>
  </w:style>
  <w:style w:type="paragraph" w:styleId="1057" w:customStyle="1">
    <w:name w:val="Default"/>
    <w:pPr>
      <w:pBdr/>
      <w:spacing w:after="0" w:line="240" w:lineRule="auto"/>
      <w:ind/>
    </w:pPr>
    <w:rPr>
      <w:rFonts w:ascii="Times New Roman" w:hAnsi="Times New Roman" w:cs="Times New Roman"/>
      <w:color w:val="000000"/>
      <w:sz w:val="24"/>
      <w:szCs w:val="24"/>
    </w:rPr>
  </w:style>
  <w:style w:type="character" w:styleId="1058" w:customStyle="1">
    <w:name w:val="Heading 1 Char"/>
    <w:basedOn w:val="873"/>
    <w:link w:val="864"/>
    <w:pPr>
      <w:pBdr/>
      <w:spacing/>
      <w:ind/>
    </w:pPr>
    <w:rPr>
      <w:rFonts w:ascii="Tms Rmn" w:hAnsi="Tms Rmn" w:eastAsia="Times New Roman" w:cs="Times New Roman"/>
      <w:b/>
      <w:bCs/>
      <w:sz w:val="24"/>
      <w:szCs w:val="24"/>
      <w:lang w:val="en-AU"/>
    </w:rPr>
  </w:style>
  <w:style w:type="character" w:styleId="1059" w:customStyle="1">
    <w:name w:val="Heading 2 Char"/>
    <w:basedOn w:val="873"/>
    <w:link w:val="865"/>
    <w:pPr>
      <w:pBdr/>
      <w:spacing/>
      <w:ind/>
    </w:pPr>
    <w:rPr>
      <w:rFonts w:ascii="Arial" w:hAnsi="Arial" w:eastAsia="Times New Roman" w:cs="Arial"/>
      <w:b/>
      <w:bCs/>
      <w:i/>
      <w:iCs/>
      <w:sz w:val="28"/>
      <w:szCs w:val="28"/>
      <w:lang w:val="en-AU"/>
    </w:rPr>
  </w:style>
  <w:style w:type="character" w:styleId="1060" w:customStyle="1">
    <w:name w:val="Heading 3 Char"/>
    <w:basedOn w:val="873"/>
    <w:link w:val="866"/>
    <w:pPr>
      <w:pBdr/>
      <w:spacing/>
      <w:ind/>
    </w:pPr>
    <w:rPr>
      <w:rFonts w:ascii="Arial" w:hAnsi="Arial" w:eastAsia="Times New Roman" w:cs="Arial"/>
      <w:b/>
      <w:bCs/>
      <w:sz w:val="26"/>
      <w:szCs w:val="26"/>
      <w:lang w:val="en-AU"/>
    </w:rPr>
  </w:style>
  <w:style w:type="character" w:styleId="1061" w:customStyle="1">
    <w:name w:val="Heading 4 Char"/>
    <w:basedOn w:val="873"/>
    <w:link w:val="867"/>
    <w:pPr>
      <w:pBdr/>
      <w:spacing/>
      <w:ind/>
    </w:pPr>
    <w:rPr>
      <w:rFonts w:ascii="Times New Roman" w:hAnsi="Times New Roman" w:eastAsia="Times New Roman" w:cs="Times New Roman"/>
      <w:b/>
      <w:bCs/>
      <w:sz w:val="28"/>
      <w:szCs w:val="28"/>
      <w:lang w:val="en-AU"/>
    </w:rPr>
  </w:style>
  <w:style w:type="character" w:styleId="1062" w:customStyle="1">
    <w:name w:val="Heading 5 Char"/>
    <w:basedOn w:val="873"/>
    <w:link w:val="868"/>
    <w:pPr>
      <w:pBdr/>
      <w:spacing/>
      <w:ind/>
    </w:pPr>
    <w:rPr>
      <w:rFonts w:ascii="Times New Roman" w:hAnsi="Times New Roman" w:eastAsia="Times New Roman" w:cs="Times New Roman"/>
      <w:b/>
      <w:bCs/>
      <w:i/>
      <w:iCs/>
      <w:sz w:val="26"/>
      <w:szCs w:val="26"/>
      <w:lang w:val="en-AU"/>
    </w:rPr>
  </w:style>
  <w:style w:type="character" w:styleId="1063" w:customStyle="1">
    <w:name w:val="Heading 6 Char"/>
    <w:basedOn w:val="873"/>
    <w:link w:val="869"/>
    <w:pPr>
      <w:pBdr/>
      <w:spacing/>
      <w:ind/>
    </w:pPr>
    <w:rPr>
      <w:rFonts w:ascii="Times New Roman" w:hAnsi="Times New Roman" w:eastAsia="Times New Roman" w:cs="Times New Roman"/>
      <w:b/>
      <w:bCs/>
      <w:lang w:val="en-AU"/>
    </w:rPr>
  </w:style>
  <w:style w:type="character" w:styleId="1064" w:customStyle="1">
    <w:name w:val="Heading 7 Char"/>
    <w:basedOn w:val="873"/>
    <w:link w:val="870"/>
    <w:pPr>
      <w:pBdr/>
      <w:spacing/>
      <w:ind/>
    </w:pPr>
    <w:rPr>
      <w:rFonts w:ascii="Times New Roman" w:hAnsi="Times New Roman" w:eastAsia="Times New Roman" w:cs="Times New Roman"/>
      <w:sz w:val="24"/>
      <w:szCs w:val="24"/>
      <w:lang w:val="en-AU"/>
    </w:rPr>
  </w:style>
  <w:style w:type="character" w:styleId="1065" w:customStyle="1">
    <w:name w:val="Heading 8 Char"/>
    <w:basedOn w:val="873"/>
    <w:link w:val="871"/>
    <w:pPr>
      <w:pBdr/>
      <w:spacing/>
      <w:ind/>
    </w:pPr>
    <w:rPr>
      <w:rFonts w:ascii="Times New Roman" w:hAnsi="Times New Roman" w:eastAsia="Times New Roman" w:cs="Times New Roman"/>
      <w:i/>
      <w:iCs/>
      <w:sz w:val="24"/>
      <w:szCs w:val="24"/>
      <w:lang w:val="en-AU"/>
    </w:rPr>
  </w:style>
  <w:style w:type="character" w:styleId="1066" w:customStyle="1">
    <w:name w:val="Heading 9 Char"/>
    <w:basedOn w:val="873"/>
    <w:link w:val="872"/>
    <w:pPr>
      <w:pBdr/>
      <w:spacing/>
      <w:ind/>
    </w:pPr>
    <w:rPr>
      <w:rFonts w:ascii="Arial" w:hAnsi="Arial" w:eastAsia="Times New Roman" w:cs="Arial"/>
      <w:lang w:val="en-AU"/>
    </w:rPr>
  </w:style>
  <w:style w:type="numbering" w:styleId="1067" w:customStyle="1">
    <w:name w:val="Style1"/>
    <w:uiPriority w:val="99"/>
    <w:pPr>
      <w:numPr>
        <w:numId w:val="24"/>
      </w:numPr>
      <w:pBdr/>
      <w:spacing/>
      <w:ind/>
    </w:pPr>
  </w:style>
  <w:style w:type="paragraph" w:styleId="1068">
    <w:name w:val="Revision"/>
    <w:hidden/>
    <w:uiPriority w:val="99"/>
    <w:semiHidden/>
    <w:pPr>
      <w:pBdr/>
      <w:spacing w:after="0" w:line="240" w:lineRule="auto"/>
      <w:ind/>
    </w:pPr>
    <w:rPr>
      <w:rFonts w:ascii="Times New Roman" w:hAnsi="Times New Roman" w:eastAsia="Times New Roman" w:cs="Times New Roman"/>
      <w:sz w:val="20"/>
      <w:szCs w:val="20"/>
      <w:lang w:val="en-AU"/>
    </w:rPr>
  </w:style>
  <w:style w:type="character" w:styleId="1069">
    <w:name w:val="Hyperlink"/>
    <w:basedOn w:val="873"/>
    <w:uiPriority w:val="99"/>
    <w:unhideWhenUsed/>
    <w:pPr>
      <w:pBdr/>
      <w:spacing/>
      <w:ind/>
    </w:pPr>
    <w:rPr>
      <w:color w:val="0563c1" w:themeColor="hyperlink"/>
      <w:u w:val="single"/>
    </w:rPr>
  </w:style>
  <w:style w:type="character" w:styleId="1070">
    <w:name w:val="FollowedHyperlink"/>
    <w:basedOn w:val="873"/>
    <w:uiPriority w:val="99"/>
    <w:semiHidden/>
    <w:unhideWhenUsed/>
    <w:pPr>
      <w:pBdr/>
      <w:spacing/>
      <w:ind/>
    </w:pPr>
    <w:rPr>
      <w:color w:val="954f72" w:themeColor="followed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customXml" Target="../customXml/item5.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18200-7864-4AB4-8B88-5A86433DCE17}">
  <ds:schemaRefs>
    <ds:schemaRef ds:uri="http://schemas.microsoft.com/office/2006/metadata/properties"/>
    <ds:schemaRef ds:uri="http://www.w3.org/2001/XMLSchema-instance"/>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3.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4.xml><?xml version="1.0" encoding="utf-8"?>
<ds:datastoreItem xmlns:ds="http://schemas.openxmlformats.org/officeDocument/2006/customXml" ds:itemID="{BED94F97-D28A-42E5-A446-1714FF60B52E}">
  <ds:schemaRefs>
    <ds:schemaRef ds:uri="http://schemas.openxmlformats.org/officeDocument/2006/bibliography"/>
  </ds:schemaRefs>
</ds:datastoreItem>
</file>

<file path=customXml/itemProps5.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onlyoffice/9.0.0.168</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G1 Jovana Savanović</cp:lastModifiedBy>
  <cp:revision>8</cp:revision>
  <dcterms:created xsi:type="dcterms:W3CDTF">2025-07-30T05:56:00Z</dcterms:created>
  <dcterms:modified xsi:type="dcterms:W3CDTF">2025-09-10T13:12:22Z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c0b91aa5-5509-4c3d-a7ff-736ebe1cbcc1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